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BB" w:rsidRDefault="00D004BB" w:rsidP="00D004BB">
      <w:pPr>
        <w:pStyle w:val="Bezodstpw"/>
        <w:jc w:val="both"/>
      </w:pP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  <w:t xml:space="preserve">Załącznik nr 1 </w:t>
      </w:r>
    </w:p>
    <w:p w:rsidR="00D004BB" w:rsidRDefault="00D004BB" w:rsidP="00D004BB">
      <w:pPr>
        <w:pStyle w:val="Bezodstpw"/>
        <w:jc w:val="both"/>
      </w:pP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  <w:t>do uchwały nr 102/346/16</w:t>
      </w:r>
    </w:p>
    <w:p w:rsidR="00D004BB" w:rsidRDefault="00D004BB" w:rsidP="00D004BB">
      <w:pPr>
        <w:pStyle w:val="Bezodstpw"/>
        <w:jc w:val="both"/>
      </w:pP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  <w:t>Zarządu Powiatu Wołowskiego</w:t>
      </w:r>
    </w:p>
    <w:p w:rsidR="00D004BB" w:rsidRDefault="00D004BB" w:rsidP="00D004BB">
      <w:pPr>
        <w:pStyle w:val="Bezodstpw"/>
        <w:jc w:val="both"/>
      </w:pP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</w:r>
      <w:r>
        <w:rPr>
          <w:rFonts w:eastAsia="HiddenHorzOCR" w:cs="Times New Roman"/>
          <w:color w:val="000000"/>
          <w:sz w:val="24"/>
          <w:szCs w:val="24"/>
        </w:rPr>
        <w:tab/>
        <w:t>z dnia 14 listopada 2016 r.</w:t>
      </w:r>
    </w:p>
    <w:p w:rsidR="00D004BB" w:rsidRDefault="00D004BB" w:rsidP="00D004BB">
      <w:pPr>
        <w:pStyle w:val="Standard"/>
        <w:rPr>
          <w:rFonts w:ascii="Calibri" w:eastAsia="HiddenHorzOCR" w:hAnsi="Calibri" w:cs="Times New Roman"/>
          <w:color w:val="000000"/>
        </w:rPr>
      </w:pPr>
    </w:p>
    <w:p w:rsidR="00D004BB" w:rsidRDefault="00D004BB" w:rsidP="00D004BB">
      <w:pPr>
        <w:pStyle w:val="Standard"/>
        <w:jc w:val="center"/>
      </w:pPr>
      <w:r>
        <w:rPr>
          <w:rFonts w:ascii="Calibri" w:eastAsia="HiddenHorzOCR" w:hAnsi="Calibri" w:cs="Times New Roman"/>
          <w:b/>
          <w:color w:val="000000"/>
        </w:rPr>
        <w:t>ZARZĄD POWIATU WOŁOWSKIEGO</w:t>
      </w:r>
    </w:p>
    <w:p w:rsidR="00D004BB" w:rsidRDefault="00D004BB" w:rsidP="00D004BB">
      <w:pPr>
        <w:pStyle w:val="Standard"/>
        <w:jc w:val="center"/>
      </w:pPr>
      <w:r>
        <w:rPr>
          <w:rFonts w:ascii="Calibri" w:eastAsia="HiddenHorzOCR" w:hAnsi="Calibri" w:cs="Times New Roman"/>
          <w:b/>
          <w:color w:val="000000"/>
        </w:rPr>
        <w:t>OGŁASZA</w:t>
      </w:r>
    </w:p>
    <w:p w:rsidR="00D004BB" w:rsidRDefault="00D004BB" w:rsidP="00D004BB">
      <w:pPr>
        <w:pStyle w:val="Standard"/>
        <w:jc w:val="center"/>
        <w:rPr>
          <w:rFonts w:ascii="Calibri" w:eastAsia="HiddenHorzOCR" w:hAnsi="Calibri" w:cs="Times New Roman"/>
          <w:b/>
          <w:color w:val="000000"/>
        </w:rPr>
      </w:pPr>
    </w:p>
    <w:p w:rsidR="00D004BB" w:rsidRDefault="00D004BB" w:rsidP="00D004BB">
      <w:pPr>
        <w:pStyle w:val="Standard"/>
        <w:jc w:val="both"/>
      </w:pPr>
      <w:r>
        <w:rPr>
          <w:rFonts w:ascii="Calibri" w:eastAsia="HiddenHorzOCR" w:hAnsi="Calibri" w:cs="Times New Roman"/>
          <w:b/>
          <w:color w:val="000000"/>
        </w:rPr>
        <w:t>konkurs ofert na realizację zadań powiatu w zakresie sprawowania pieczy zastępczej instytucjonalnej pn. „Sprawowanie pieczy zastępczej w formie instytucjonalnej w zakresie prowadzenia czterech całodobowych placówek opiekuńczo-wychowawczych po maksymalnie 14 dzieci powyżej 10 roku życia w okresie od 01 grudnia 2016 r. do 31 grudnia 2017 r.”</w:t>
      </w:r>
    </w:p>
    <w:p w:rsidR="00D004BB" w:rsidRDefault="00D004BB" w:rsidP="00D004BB">
      <w:pPr>
        <w:pStyle w:val="Standard"/>
        <w:jc w:val="both"/>
        <w:rPr>
          <w:rFonts w:ascii="Calibri" w:eastAsia="HiddenHorzOCR" w:hAnsi="Calibri" w:cs="Times New Roman"/>
          <w:b/>
          <w:color w:val="000000"/>
        </w:rPr>
      </w:pP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</w:pPr>
      <w:r>
        <w:rPr>
          <w:rFonts w:ascii="Calibri" w:eastAsia="HiddenHorzOCR" w:hAnsi="Calibri" w:cs="Times New Roman"/>
          <w:b/>
          <w:color w:val="000000"/>
          <w:u w:val="single"/>
        </w:rPr>
        <w:t>Informacje ogólne:</w:t>
      </w:r>
    </w:p>
    <w:p w:rsidR="00D004BB" w:rsidRDefault="00D004BB" w:rsidP="00D004BB">
      <w:pPr>
        <w:pStyle w:val="Standard"/>
        <w:jc w:val="both"/>
      </w:pPr>
      <w:r>
        <w:rPr>
          <w:rFonts w:ascii="Calibri" w:eastAsia="HiddenHorzOCR" w:hAnsi="Calibri" w:cs="Times New Roman"/>
          <w:color w:val="000000"/>
        </w:rPr>
        <w:t>Podmiotami/oferentami uprawnionymi do udziału w konkursie są:</w:t>
      </w:r>
    </w:p>
    <w:p w:rsidR="00D004BB" w:rsidRDefault="00D004BB" w:rsidP="00D004BB">
      <w:pPr>
        <w:pStyle w:val="Akapitzlist"/>
        <w:numPr>
          <w:ilvl w:val="0"/>
          <w:numId w:val="5"/>
        </w:numPr>
        <w:tabs>
          <w:tab w:val="left" w:pos="390"/>
        </w:tabs>
        <w:spacing w:after="0"/>
        <w:ind w:left="397" w:hanging="340"/>
        <w:jc w:val="both"/>
      </w:pPr>
      <w:r>
        <w:rPr>
          <w:rFonts w:ascii="Calibri" w:eastAsia="HiddenHorzOCR" w:hAnsi="Calibri" w:cs="Times New Roman"/>
          <w:color w:val="000000"/>
        </w:rPr>
        <w:t>organizacje pozarządowe prowadzące działalność w zakresie wspierania rodziny i systemu pieczy zastępczej,</w:t>
      </w:r>
    </w:p>
    <w:p w:rsidR="00D004BB" w:rsidRDefault="00D004BB" w:rsidP="00D004BB">
      <w:pPr>
        <w:pStyle w:val="Akapitzlist"/>
        <w:numPr>
          <w:ilvl w:val="0"/>
          <w:numId w:val="5"/>
        </w:numPr>
        <w:tabs>
          <w:tab w:val="left" w:pos="390"/>
        </w:tabs>
        <w:spacing w:after="0"/>
        <w:ind w:left="397" w:hanging="340"/>
        <w:jc w:val="both"/>
      </w:pPr>
      <w:r>
        <w:rPr>
          <w:rFonts w:ascii="Calibri" w:eastAsia="HiddenHorzOCR" w:hAnsi="Calibri" w:cs="Times New Roman"/>
          <w:color w:val="000000"/>
        </w:rPr>
        <w:t xml:space="preserve">podmioty wymienione w art. 3 ust. 3 ustawy o działalności pożytku publicznego                           i o wolontariacie, w tym osoby prawne i jednostki organizacyjne działające na podstawie przepisów o stosunku Państwa do Kościoła Katolickiego w Rzeczpospolitej Polskiej o stosunku Państwa do innych kościołów i związków wyznaniowych oraz o gwarancjach wolności sumienia i wyznania, jeżeli ich cele statutowe obejmują prowadzenie działalności pożytku publicznego.  </w:t>
      </w:r>
    </w:p>
    <w:p w:rsidR="00D004BB" w:rsidRDefault="00D004BB" w:rsidP="00D004BB">
      <w:pPr>
        <w:pStyle w:val="Standard"/>
        <w:rPr>
          <w:rFonts w:ascii="Calibri" w:eastAsia="HiddenHorzOCR" w:hAnsi="Calibri" w:cs="Times New Roman"/>
          <w:color w:val="000000"/>
        </w:rPr>
      </w:pP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</w:pPr>
      <w:r>
        <w:rPr>
          <w:rFonts w:ascii="Calibri" w:eastAsia="HiddenHorzOCR" w:hAnsi="Calibri" w:cs="Times New Roman"/>
          <w:b/>
          <w:color w:val="000000"/>
          <w:u w:val="single"/>
        </w:rPr>
        <w:t>Rodzaj zadania:</w:t>
      </w:r>
    </w:p>
    <w:p w:rsidR="00D004BB" w:rsidRDefault="00D004BB" w:rsidP="00D004BB">
      <w:pPr>
        <w:pStyle w:val="Standard"/>
        <w:jc w:val="both"/>
      </w:pPr>
      <w:r>
        <w:rPr>
          <w:rFonts w:ascii="Calibri" w:eastAsia="HiddenHorzOCR" w:hAnsi="Calibri" w:cs="Times New Roman"/>
          <w:color w:val="000000"/>
        </w:rPr>
        <w:t xml:space="preserve">Przedmiotem konkursu jest zadanie polegające na sprawowaniu pieczy zastępczej w formie instytucjonalnej w zakresie prowadzenia odrębnych czterech całodobowych placówek opiekuńczo-wychowawczych typu socjalizacyjnego. Placówki zgodnie z art. 101 ust. 3 ustawy o wspieraniu rodziny i systemie pieczy zastępczej </w:t>
      </w:r>
      <w:r>
        <w:rPr>
          <w:rFonts w:ascii="Calibri" w:eastAsia="HiddenHorzOCR" w:hAnsi="Calibri" w:cs="Times New Roman"/>
          <w:color w:val="000000"/>
          <w:shd w:val="clear" w:color="auto" w:fill="FFFFFF"/>
        </w:rPr>
        <w:t>mogą łączyć typ socjalizacyjny i interwencyjny</w:t>
      </w:r>
      <w:r>
        <w:rPr>
          <w:rFonts w:ascii="Calibri" w:eastAsia="HiddenHorzOCR" w:hAnsi="Calibri" w:cs="Times New Roman"/>
          <w:color w:val="000000"/>
        </w:rPr>
        <w:t>, w każdej po maksymalnie 14 dzieci powyżej 10 roku życia, całkowicie lub częściowo pozbawionych opieki rodzicielskiej, z uwzględnieniem zapewnienia dzieciom realizacji potrzeb, o których mowa m. in. w art. 93 ust. 4 powyższej ustawy. Zadanie winno być realizowane w budynku/lokalu, do którego oferent ubiegający się o realizację zadania posiada tytuł prawny.</w:t>
      </w:r>
    </w:p>
    <w:p w:rsidR="00D004BB" w:rsidRDefault="00D004BB" w:rsidP="00D004BB">
      <w:pPr>
        <w:pStyle w:val="Standard"/>
        <w:rPr>
          <w:rFonts w:ascii="Calibri" w:eastAsia="HiddenHorzOCR" w:hAnsi="Calibri" w:cs="Times New Roman"/>
          <w:color w:val="000000"/>
        </w:rPr>
      </w:pP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b/>
          <w:color w:val="000000"/>
          <w:u w:val="single"/>
        </w:rPr>
        <w:t>Wysokość środków publicznych przeznaczonych na realizację tego zadania i zasady przyznania dotacji:</w:t>
      </w:r>
    </w:p>
    <w:p w:rsidR="00D004BB" w:rsidRDefault="00D004BB" w:rsidP="00D004BB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Wysokość dotacji na realizację zadania określana jest corocznie w uchwale budżetowej Rady Powiatu Wołowskiego.</w:t>
      </w:r>
    </w:p>
    <w:p w:rsidR="00D004BB" w:rsidRDefault="00D004BB" w:rsidP="00D004BB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 xml:space="preserve">Planowana wysokość dotacji za miesiąc XII 2016 r. </w:t>
      </w:r>
      <w:r>
        <w:rPr>
          <w:rFonts w:ascii="Calibri" w:hAnsi="Calibri" w:cs="Times New Roman"/>
          <w:color w:val="000000"/>
          <w:shd w:val="clear" w:color="auto" w:fill="FFFFFF"/>
        </w:rPr>
        <w:t>równa będzie iloczynowi liczby dzieci przebywających placówce i średnio miesięcznej kwoty utrzymania wychowanka w poszczególnych placówkach, która wynosi odpowiednio:</w:t>
      </w:r>
    </w:p>
    <w:p w:rsidR="00D004BB" w:rsidRDefault="00D004BB" w:rsidP="00D004BB">
      <w:pPr>
        <w:pStyle w:val="Akapitzlist"/>
        <w:spacing w:after="0"/>
        <w:jc w:val="both"/>
      </w:pPr>
      <w:r>
        <w:rPr>
          <w:rFonts w:ascii="Calibri" w:eastAsia="HiddenHorzOCR" w:hAnsi="Calibri" w:cs="Times New Roman"/>
          <w:color w:val="000000"/>
          <w:shd w:val="clear" w:color="auto" w:fill="FFFFFF"/>
        </w:rPr>
        <w:t>a) w jednej funkcjonującej placówce opiekuńczo-wychowawczej typu socjalizacyjnego do 14 dzieci -  kwota 3 888,40 zł na 1 dziecko;</w:t>
      </w:r>
    </w:p>
    <w:p w:rsidR="00D004BB" w:rsidRDefault="00D004BB" w:rsidP="00D004BB">
      <w:pPr>
        <w:pStyle w:val="Akapitzlist"/>
        <w:spacing w:after="0"/>
        <w:jc w:val="both"/>
      </w:pPr>
      <w:r>
        <w:rPr>
          <w:rFonts w:ascii="Calibri" w:eastAsia="HiddenHorzOCR" w:hAnsi="Calibri" w:cs="Times New Roman"/>
          <w:color w:val="000000"/>
          <w:shd w:val="clear" w:color="auto" w:fill="FFFFFF"/>
        </w:rPr>
        <w:t>b) w trzech nowo powstających placówkach opiekuńczo-wychowawczych typu socjalizacyjnego do 14 dzieci - kwota 3 719,39 zł na 1 dziecko.</w:t>
      </w:r>
    </w:p>
    <w:p w:rsidR="00D004BB" w:rsidRDefault="00D004BB" w:rsidP="00D004BB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111111"/>
          <w:shd w:val="clear" w:color="auto" w:fill="FFFFFF"/>
        </w:rPr>
        <w:lastRenderedPageBreak/>
        <w:t xml:space="preserve">Planowana wysokość dotacji na 2017 </w:t>
      </w:r>
      <w:r>
        <w:rPr>
          <w:rFonts w:ascii="Calibri" w:eastAsia="HiddenHorzOCR" w:hAnsi="Calibri" w:cs="Times New Roman"/>
          <w:color w:val="000000"/>
          <w:shd w:val="clear" w:color="auto" w:fill="FFFFFF"/>
        </w:rPr>
        <w:t xml:space="preserve">r. wynosić będzie 2 527 823,76 zł (słownie: </w:t>
      </w:r>
      <w:r>
        <w:rPr>
          <w:rFonts w:ascii="Calibri" w:eastAsia="HiddenHorzOCR" w:hAnsi="Calibri" w:cs="Times New Roman"/>
          <w:i/>
          <w:iCs/>
          <w:color w:val="000000"/>
          <w:shd w:val="clear" w:color="auto" w:fill="FFFFFF"/>
        </w:rPr>
        <w:t>dwa miliony pięćset dwadzieścia siedem tysięcy osiemset dwadzieścia trzy złote siedemdziesiąt sześć groszy</w:t>
      </w:r>
      <w:r>
        <w:rPr>
          <w:rFonts w:ascii="Calibri" w:eastAsia="HiddenHorzOCR" w:hAnsi="Calibri" w:cs="Times New Roman"/>
          <w:color w:val="000000"/>
          <w:shd w:val="clear" w:color="auto" w:fill="FFFFFF"/>
        </w:rPr>
        <w:t>).</w:t>
      </w:r>
    </w:p>
    <w:p w:rsidR="00D004BB" w:rsidRDefault="00D004BB" w:rsidP="00D004BB">
      <w:pPr>
        <w:pStyle w:val="Akapitzlist"/>
        <w:numPr>
          <w:ilvl w:val="0"/>
          <w:numId w:val="7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Szczegółowe zasady przekazywania i rozliczania dotacji dla poszczególnych placówek opiekuńczo – wychowawczych określą umowy na realizację zadania.</w:t>
      </w:r>
    </w:p>
    <w:p w:rsidR="00D004BB" w:rsidRDefault="00D004BB" w:rsidP="00D004BB">
      <w:pPr>
        <w:pStyle w:val="Akapitzlist"/>
        <w:spacing w:after="0"/>
        <w:ind w:left="0"/>
        <w:jc w:val="both"/>
        <w:rPr>
          <w:rFonts w:ascii="Calibri" w:eastAsia="HiddenHorzOCR" w:hAnsi="Calibri" w:cs="Times New Roman"/>
          <w:color w:val="000000"/>
        </w:rPr>
      </w:pP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b/>
          <w:color w:val="000000"/>
          <w:u w:val="single"/>
        </w:rPr>
        <w:t>Termin i warunki realizacji zadania: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Zadanie realizowane będzie w okresie od 01 grudnia 2016 r. do 31 grudnia 2017 r.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Zadanie ma być realizowane na terenie Powiatu Wołowskiego.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Cztery placówki opiekuńczo–wychowawcze będą prowadzone przez jednego oferenta.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W sytuacjach uzasadnionych specyfiką zadania rozpoczęcie realizacji zadania może nastąpić przed datą zawarcia umów.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W przypadkach, o których mowa w ust. 4, koszty realizacji zadania, które poniósł oferent przed zawarciem umów będą podlegać refundacji przez Powiat Wołowski z zastrzeżeniem, że refundacja nie będzie obejmować wydatków poniesionych przed dniem 01.12.2016 r.  ani przed  terminem realizacji zadania określonym w umowach.</w:t>
      </w:r>
    </w:p>
    <w:p w:rsidR="00D004BB" w:rsidRDefault="00D004BB" w:rsidP="00D004BB">
      <w:pPr>
        <w:pStyle w:val="Akapitzlist"/>
        <w:numPr>
          <w:ilvl w:val="0"/>
          <w:numId w:val="8"/>
        </w:numPr>
        <w:tabs>
          <w:tab w:val="left" w:pos="735"/>
        </w:tabs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Refundacja środków przez Powiat Wołowski nastąpi w przypadku podpisania umów z wybranym oferentem.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111111"/>
        </w:rPr>
        <w:t>Zadanie winno być realizowane z najwyższą starannością zgodnie z zawartymi umowami na prowadzenie poszczególnych placówek oraz obowiązującymi standardami i przepisami prawa.</w:t>
      </w:r>
    </w:p>
    <w:p w:rsidR="00D004BB" w:rsidRDefault="00D004BB" w:rsidP="00D004BB">
      <w:pPr>
        <w:pStyle w:val="Akapitzlist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Warunkiem zawarcia umów na realizację zadania będzie:</w:t>
      </w:r>
    </w:p>
    <w:p w:rsidR="00D004BB" w:rsidRDefault="00D004BB" w:rsidP="00D004BB">
      <w:pPr>
        <w:pStyle w:val="Akapitzlist"/>
        <w:numPr>
          <w:ilvl w:val="0"/>
          <w:numId w:val="9"/>
        </w:numPr>
        <w:spacing w:after="0"/>
        <w:ind w:left="1020" w:hanging="340"/>
        <w:jc w:val="both"/>
      </w:pPr>
      <w:r>
        <w:rPr>
          <w:rFonts w:ascii="Calibri" w:eastAsia="HiddenHorzOCR" w:hAnsi="Calibri" w:cs="Times New Roman"/>
          <w:color w:val="000000"/>
        </w:rPr>
        <w:t>uzyskanie przez oferenta zezwoleń Wojewody Dolnośląskiego na prowadzenie poszczególnych placówek opiekuńczo – wychowawczych;</w:t>
      </w:r>
    </w:p>
    <w:p w:rsidR="00D004BB" w:rsidRDefault="00D004BB" w:rsidP="00D004BB">
      <w:pPr>
        <w:pStyle w:val="Akapitzlist"/>
        <w:numPr>
          <w:ilvl w:val="0"/>
          <w:numId w:val="9"/>
        </w:numPr>
        <w:spacing w:after="0"/>
        <w:ind w:left="1020" w:hanging="340"/>
        <w:jc w:val="both"/>
      </w:pPr>
      <w:r>
        <w:rPr>
          <w:rFonts w:ascii="Calibri" w:eastAsia="HiddenHorzOCR" w:hAnsi="Calibri" w:cs="Times New Roman"/>
          <w:color w:val="000000"/>
        </w:rPr>
        <w:t>akceptacja przez strony postanowień umowy;</w:t>
      </w:r>
    </w:p>
    <w:p w:rsidR="00D004BB" w:rsidRDefault="00D004BB" w:rsidP="00D004BB">
      <w:pPr>
        <w:pStyle w:val="Akapitzlist"/>
        <w:numPr>
          <w:ilvl w:val="0"/>
          <w:numId w:val="9"/>
        </w:numPr>
        <w:spacing w:after="0"/>
        <w:ind w:left="1020" w:hanging="340"/>
        <w:jc w:val="both"/>
      </w:pPr>
      <w:r>
        <w:rPr>
          <w:rFonts w:ascii="Calibri" w:eastAsia="HiddenHorzOCR" w:hAnsi="Calibri" w:cs="Times New Roman"/>
          <w:color w:val="000000"/>
        </w:rPr>
        <w:t>dokonanie przez oferenta korekty kosztorysu projektu, w przypadku przyznania dotacji w wysokości innej, niż wnioskowana.</w:t>
      </w:r>
    </w:p>
    <w:p w:rsidR="00D004BB" w:rsidRDefault="00D004BB" w:rsidP="00D004BB">
      <w:pPr>
        <w:pStyle w:val="Akapitzlist"/>
        <w:numPr>
          <w:ilvl w:val="0"/>
          <w:numId w:val="8"/>
        </w:numPr>
        <w:ind w:left="0" w:firstLine="0"/>
        <w:jc w:val="both"/>
      </w:pPr>
      <w:r>
        <w:rPr>
          <w:rFonts w:ascii="Calibri" w:eastAsia="HiddenHorzOCR" w:hAnsi="Calibri" w:cs="Times New Roman"/>
          <w:color w:val="000000"/>
        </w:rPr>
        <w:t>Wszystkie umowy zostaną zawarte w terminie 30 dni od daty złożenia do Starostwa Powiatowego w Wołowie zezwoleń Wojewody Dolnośląskiego na prowadzenie poszczególnych placówek opiekuńczo–wychowawczych.</w:t>
      </w: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HiddenHorzOCR" w:hAnsi="Calibri" w:cs="Arial"/>
          <w:b/>
          <w:bCs/>
          <w:color w:val="000000"/>
          <w:u w:val="single"/>
        </w:rPr>
        <w:t>Terminy i warunki składania ofert:</w:t>
      </w:r>
    </w:p>
    <w:p w:rsidR="00D004BB" w:rsidRDefault="00D004BB" w:rsidP="00D004B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" w:eastAsia="HiddenHorzOCR" w:hAnsi="Calibri" w:cs="Arial"/>
          <w:bCs/>
          <w:color w:val="000000"/>
        </w:rPr>
        <w:t>Każdy oferent składa odrębne 4 oferty na prowadzenie poszczególnych placówek opiekuńczo–wychowawczych.</w:t>
      </w:r>
    </w:p>
    <w:p w:rsidR="00D004BB" w:rsidRDefault="00D004BB" w:rsidP="00D004B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 xml:space="preserve">Oferty w dwóch egzemplarzach (oryginał + kopia) należy składać w terminie 21 dni </w:t>
      </w:r>
      <w:r>
        <w:rPr>
          <w:rFonts w:ascii="Calibri" w:eastAsia="HiddenHorzOCR" w:hAnsi="Calibri" w:cs="Times New Roman"/>
          <w:bCs/>
          <w:color w:val="000000"/>
          <w:shd w:val="clear" w:color="auto" w:fill="FFFFFF"/>
        </w:rPr>
        <w:t xml:space="preserve">od dnia ukazania się ogłoszenia w godzinach od 7:45 </w:t>
      </w:r>
      <w:r>
        <w:rPr>
          <w:rFonts w:ascii="Calibri" w:eastAsia="HiddenHorzOCR" w:hAnsi="Calibri" w:cs="Times New Roman"/>
          <w:bCs/>
          <w:color w:val="000000"/>
        </w:rPr>
        <w:t>do 15.45, w biurze podawczym (pokój Nr 5) Starostwa Powiatowego w Wołowie, Pl. Piastowski 2, 56-100 Wołów. W przypadku przesłania oferty pocztą/kurierem decyduje data wpływu.</w:t>
      </w:r>
    </w:p>
    <w:p w:rsidR="00D004BB" w:rsidRDefault="00D004BB" w:rsidP="00D004B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 xml:space="preserve">Każda oferta powinna być złożona na formularzu zgodnym z załącznikiem nr 1 do </w:t>
      </w:r>
      <w:r>
        <w:rPr>
          <w:rFonts w:ascii="Calibri" w:eastAsia="HiddenHorzOCR" w:hAnsi="Calibri" w:cs="Times New Roman"/>
          <w:bCs/>
          <w:color w:val="111111"/>
        </w:rPr>
        <w:t xml:space="preserve">rozporządzenia Ministra Rodziny, Pracy i Polityki Społecznej z dnia 17 sierpnia 2016 r. w sprawie wzorów ofert i ramowych wzorów umów dotyczących realizacji zadań publicznych oraz wzorów sprawozdań z wykonania tych zadań (Dz. U. z 2016 r., poz. 1300). </w:t>
      </w:r>
    </w:p>
    <w:p w:rsidR="00D004BB" w:rsidRDefault="00D004BB" w:rsidP="00D004B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Każda oferta powinna zawierać: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szczegółowy zakres rzeczowy proponowanego do realizacji zadania, zawierający opis planowanego działania;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informację o terminie i miejscu realizacji zadania;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kalkulację przewidywanych kosztów realizacji zadania;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lastRenderedPageBreak/>
        <w:t>opis oferowanego standardu usług i warunków realizacji zadania w nawiązaniu do wymogów określonych przepisami rozporządzenia Ministra Pracy i Polityki Społecznej z dnia 22 grudnia 2011 r. w sprawie instytucjonalnej pieczy zastępczej (Dz. U.  z 2011 r. nr 292, poz. 1720);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wykaz stanowisk pracy jakie zostaną utworzone w celu realizacji zadania, którego dotyczy oferta zawierającej m. in.: nazwę stanowiska, wymiar i forma zatrudnienia na poszczególnych stanowiskach, kwalifikacje osób zajmujących poszczególne stanowiska;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</w:pPr>
      <w:r>
        <w:rPr>
          <w:rFonts w:ascii="Calibri" w:eastAsia="HiddenHorzOCR" w:hAnsi="Calibri" w:cs="Times New Roman"/>
          <w:color w:val="000000"/>
        </w:rPr>
        <w:t>dokładny harmonogram zadania;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pozytywne opinie właściwego miejscowo komendanta powiatowego Państwowej Straży Pożarnej i właściwego inspektora sanitarnego o warunkach bezpieczeństwa i higieny obiektu/lokalu, w którym mieścić się będzie placówka opiekuńczo – wychowawcza oraz najbliższego jej otoczenia, mając na uwadze specyfikę placówki;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</w:pPr>
      <w:r>
        <w:rPr>
          <w:rFonts w:ascii="Calibri" w:eastAsia="HiddenHorzOCR" w:hAnsi="Calibri" w:cs="Times New Roman"/>
          <w:color w:val="000000"/>
        </w:rPr>
        <w:t>Regulamin organizacyjny placówki opiekuńczo–wychowawczej;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akt własności, umowa najmu lub inny dokument potwierdzający tytuł prawny oferenta do obiektu/lokalu, w którym będzie realizowane zadanie. Prawo do dysponowania obiektem/lokalem musi obejmować okres realizacji zadania;</w:t>
      </w:r>
    </w:p>
    <w:p w:rsidR="00D004BB" w:rsidRDefault="00D004BB" w:rsidP="00D004B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" w:eastAsia="HiddenHorzOCR" w:hAnsi="Calibri" w:cs="Times New Roman"/>
          <w:bCs/>
          <w:color w:val="000000"/>
        </w:rPr>
        <w:t>informacje wymagane zgodnie z ogłoszeniem o otwartym konkursie ofert.</w:t>
      </w:r>
    </w:p>
    <w:p w:rsidR="00D004BB" w:rsidRDefault="00D004BB" w:rsidP="00D004BB">
      <w:pPr>
        <w:pStyle w:val="Akapitzlist"/>
        <w:numPr>
          <w:ilvl w:val="0"/>
          <w:numId w:val="4"/>
        </w:numPr>
        <w:spacing w:after="0"/>
      </w:pPr>
      <w:r>
        <w:rPr>
          <w:rFonts w:ascii="Calibri" w:hAnsi="Calibri" w:cs="Calibri"/>
          <w:color w:val="000000"/>
        </w:rPr>
        <w:t>Do jednej z ofert należy dołączyć następujące załączniki: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aktualny odpis potwierdzający wpis do właściwej ewidencji lub rejestru dotyczącego statusu prawnego uprawnionego podmiotu i prowadzonej przez niego działalności;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Statut oferenta wraz z każdą jego aktualizacją;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oryginał pełnomocnictwa udzielonego przez podmiot zgodnie z reprezentacją wykazaną w wypisie z rejestru lub innych odpowiednich dla podmiotu dokumentach rejestrowanych w przypadku, gdy osoba reprezentująca podmiot jest osobą inną niż wskazana w wypisie z rejestru lub innych odpowiednich dla podmiotu dokumentacjach rejestrowanych;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informację o wcześniejszej działalności podmiotu składającego ofertę, w zakresie którego dotyczy zadanie;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oświadczenie oferenta o posiadaniu przez realizatorów kwalifikacji do wykonania zadań objętych ofertą;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oświadczenie oferenta o wykorzystywaniu środków finansowych wyłącznie na realizację zadania;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pisemne rekomendacje dotychczasowej działalności;</w:t>
      </w:r>
    </w:p>
    <w:p w:rsidR="00D004BB" w:rsidRDefault="00D004BB" w:rsidP="00D004BB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" w:hAnsi="Calibri" w:cs="Calibri"/>
          <w:color w:val="000000"/>
        </w:rPr>
        <w:t>inne załączniki mogące mieć znaczenie przy ocenie projektu.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 xml:space="preserve">Oferty należy złożyć w jednej zamkniętej kopercie z napisem: „Konkurs ofert na realizację zadania pn. </w:t>
      </w:r>
      <w:r>
        <w:rPr>
          <w:rFonts w:ascii="Calibri" w:eastAsia="HiddenHorzOCR" w:hAnsi="Calibri" w:cs="Times New Roman"/>
          <w:b/>
          <w:color w:val="000000"/>
        </w:rPr>
        <w:t xml:space="preserve">„Sprawowanie pieczy zastępczej w formie instytucjonalnej w zakresie prowadzenia czterech całodobowych placówek opiekuńczo-wychowawczych po maksymalnie 14 dzieci powyżej 10 roku życia w okresie od 01 grudnia 2016 r. do 31 grudnia 2017 r.”. </w:t>
      </w:r>
      <w:r>
        <w:rPr>
          <w:rFonts w:ascii="Calibri" w:eastAsia="HiddenHorzOCR" w:hAnsi="Calibri" w:cs="Times New Roman"/>
          <w:color w:val="000000"/>
        </w:rPr>
        <w:t>Na kopercie należy zamieścić nazwę i adres oferenta.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Oferty powinny być wypełnione w języku polskim, maszynowo, komputerowo lub czytelnym pismem, posiadać ponumerowane strony oraz złożone pieczątki oferenta we wszystkich wymaganych miejscach,  należy wypełnić wszystkie pola ofertowe.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Oferty posiadające uchybienie formalne mogą zostać uzupełnione w terminie 3 dni od zawiadomienia.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lastRenderedPageBreak/>
        <w:t>Nie dopuszcza się składania ofert cząstkowych na realizację zadania.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  <w:shd w:val="clear" w:color="auto" w:fill="FFFFFF"/>
        </w:rPr>
        <w:t>Do czasu zakończenia terminu na składanie ofert konkurs może być odwołany bez podania przyczyny.</w:t>
      </w:r>
    </w:p>
    <w:p w:rsidR="00D004BB" w:rsidRDefault="00D004BB" w:rsidP="00D004BB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Po zakończeniu konkursu oferty nie będą zwracane.</w:t>
      </w:r>
    </w:p>
    <w:p w:rsidR="00D004BB" w:rsidRDefault="00D004BB" w:rsidP="00D004BB">
      <w:pPr>
        <w:pStyle w:val="Akapitzlist"/>
        <w:numPr>
          <w:ilvl w:val="0"/>
          <w:numId w:val="6"/>
        </w:numPr>
        <w:spacing w:after="0"/>
        <w:ind w:left="0" w:firstLine="0"/>
        <w:jc w:val="both"/>
      </w:pPr>
      <w:r>
        <w:rPr>
          <w:rFonts w:ascii="Calibri" w:eastAsia="HiddenHorzOCR" w:hAnsi="Calibri" w:cs="Times New Roman"/>
          <w:b/>
          <w:color w:val="000000"/>
          <w:u w:val="single"/>
        </w:rPr>
        <w:t>Termin, tryb i kryteria stosowane przy dokonywaniu wyboru ofert: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Wybór oferty nastąpi w ciągu 30 dni od upływu terminu do składania ofert.  Zarząd Powiatu zastrzega sobie możliwość przedłużenia terminu rozstrzygnięcia konkursu.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Złożone oferty będą oceniane pod względem formalnym przez Powiatowe Centrum Pomocy Rodzinie w Wołowie.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Oceny merytorycznej dokona Komisja Konkursowa powołana przez Zarząd Powiatu.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Zgodnie z art. 15 ust. 1 ustawy o działalności pożytku publicznego i o wolontariacie przy ocenie ofert oceniać się będzie:</w:t>
      </w:r>
    </w:p>
    <w:p w:rsidR="00D004BB" w:rsidRDefault="00D004BB" w:rsidP="00D004BB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możliwość realizacji zadania przez oferenta oraz zgodność oferty z celami zadania publicznego na które ogłoszono konkurs;</w:t>
      </w:r>
    </w:p>
    <w:p w:rsidR="00D004BB" w:rsidRDefault="00D004BB" w:rsidP="00D004BB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kalkulację kosztów realizacji zadania, w tym w odniesieniu do zakresu rzeczowego zadania;</w:t>
      </w:r>
    </w:p>
    <w:p w:rsidR="00D004BB" w:rsidRDefault="00D004BB" w:rsidP="00D004BB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proponowaną jakość wykonania zadania oraz doświadczenie i kwalifikacje osób przy udziale których podmiot uprawniony będzie realizować zadanie;</w:t>
      </w:r>
    </w:p>
    <w:p w:rsidR="00D004BB" w:rsidRDefault="00D004BB" w:rsidP="00D004BB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planowany przez oferenta wkład rzeczowy, osobowy, w tym świadczenia wolontariuszy i pracę społeczną członków;</w:t>
      </w:r>
    </w:p>
    <w:p w:rsidR="00D004BB" w:rsidRDefault="00D004BB" w:rsidP="00D004BB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rzetelność i terminowość oraz sposób rozliczenia otrzymanych środków finansowych na realizację zleconych zadań publicznych  przez organizacje, które realizowały zlecone zadania publiczne w latach poprzednich.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eastAsia="HiddenHorzOCR" w:hAnsi="Calibri" w:cs="Times New Roman"/>
          <w:color w:val="000000"/>
        </w:rPr>
        <w:t>Wyniki konkursu zostaną ogłoszone niezwłocznie po jego rozstrzygnięciu w Biuletynie Informacji Publicznej Powiatu Wołowskiego, na stronie internetowej Powiatu Wołowskiego oraz na tablicy ogłoszeń w siedzibie Starostwa Powiatowego w Wołowie.</w:t>
      </w:r>
    </w:p>
    <w:p w:rsidR="00D004BB" w:rsidRDefault="00D004BB" w:rsidP="00D004B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" w:hAnsi="Calibri" w:cs="Calibri"/>
          <w:color w:val="000000"/>
        </w:rPr>
        <w:t>Osobą wyznaczoną do kontaktu z oferentami jest Główny specjalista Wydziału Edukacji, Kultury, Sportu i Spraw Społecznych Starostwa Powiatowego w Wołowie – Pani Alicja Kamecka (tel. 71-380 59 13 – 14, e-mail: edukacja@powiatwolowski.pl).</w:t>
      </w:r>
    </w:p>
    <w:p w:rsidR="00D004BB" w:rsidRDefault="00D004BB" w:rsidP="00D004BB">
      <w:pPr>
        <w:pStyle w:val="Akapitzlist"/>
        <w:spacing w:after="0"/>
        <w:ind w:left="360"/>
        <w:jc w:val="both"/>
        <w:rPr>
          <w:rFonts w:ascii="Calibri" w:eastAsia="HiddenHorzOCR" w:hAnsi="Calibri" w:cs="Times New Roman"/>
          <w:color w:val="000000"/>
        </w:rPr>
      </w:pPr>
    </w:p>
    <w:p w:rsidR="00D004BB" w:rsidRDefault="00D004BB" w:rsidP="00D004BB">
      <w:pPr>
        <w:pStyle w:val="Standard"/>
        <w:jc w:val="both"/>
      </w:pPr>
      <w:r>
        <w:rPr>
          <w:rFonts w:ascii="Calibri" w:eastAsia="HiddenHorzOCR" w:hAnsi="Calibri" w:cs="Times New Roman"/>
          <w:b/>
          <w:color w:val="000000"/>
          <w:u w:val="single"/>
        </w:rPr>
        <w:t>VII.</w:t>
      </w:r>
      <w:r>
        <w:rPr>
          <w:rFonts w:ascii="Calibri" w:eastAsia="HiddenHorzOCR" w:hAnsi="Calibri" w:cs="Times New Roman"/>
          <w:b/>
          <w:color w:val="000000"/>
          <w:u w:val="single"/>
        </w:rPr>
        <w:tab/>
        <w:t>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 ustawy z dnia 24 kwietnia 2003 r. o działalności pożytku publicznego i o wolontariacie:</w:t>
      </w:r>
    </w:p>
    <w:p w:rsidR="00D004BB" w:rsidRDefault="00D004BB" w:rsidP="00D004BB">
      <w:pPr>
        <w:pStyle w:val="Standard"/>
        <w:ind w:left="360"/>
        <w:jc w:val="both"/>
        <w:rPr>
          <w:rFonts w:ascii="Calibri" w:eastAsia="HiddenHorzOCR" w:hAnsi="Calibri" w:cs="Times New Roman"/>
          <w:b/>
          <w:color w:val="000000"/>
          <w:u w:val="single"/>
        </w:rPr>
      </w:pPr>
    </w:p>
    <w:p w:rsidR="00D004BB" w:rsidRDefault="00D004BB" w:rsidP="00D004BB">
      <w:pPr>
        <w:pStyle w:val="Standard"/>
        <w:jc w:val="both"/>
      </w:pPr>
      <w:r>
        <w:rPr>
          <w:rFonts w:ascii="Calibri" w:eastAsia="HiddenHorzOCR" w:hAnsi="Calibri" w:cs="Times New Roman"/>
          <w:color w:val="000000"/>
        </w:rPr>
        <w:t>Zarząd Powiatu Wołowskiego podaje do wiadomości, że w bieżącym roku na zadanie tego samego rodzaju z zakresu sprawowania pieczy zastępczej instytucjonalnej przy udziale organizacji pozarządowych przeznaczono kwotę 2 652 500,00 zł, natomiast w 2015 roku przeznaczono kwotę w wysokości 2 532 144,73 zł.</w:t>
      </w:r>
    </w:p>
    <w:p w:rsidR="00467A32" w:rsidRDefault="00467A32">
      <w:bookmarkStart w:id="0" w:name="_GoBack"/>
      <w:bookmarkEnd w:id="0"/>
    </w:p>
    <w:sectPr w:rsidR="0046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HiddenHorzOCR" w:hAnsi="Calibri" w:cs="Times New Roman"/>
        <w:bCs/>
      </w:r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HiddenHorzOCR" w:hAnsi="Calibri" w:cs="Times New Roman" w:hint="default"/>
      </w:rPr>
    </w:lvl>
  </w:abstractNum>
  <w:abstractNum w:abstractNumId="3" w15:restartNumberingAfterBreak="0">
    <w:nsid w:val="00000009"/>
    <w:multiLevelType w:val="multilevel"/>
    <w:tmpl w:val="00000009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HiddenHorzOCR" w:hAnsi="Calibri" w:cs="Arial"/>
        <w:b/>
        <w:bCs/>
        <w:color w:val="1F1F1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HiddenHorzOCR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HiddenHorzOCR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HiddenHorzOCR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BB"/>
    <w:rsid w:val="00467A32"/>
    <w:rsid w:val="00D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4C24-17D2-40C5-944B-CB46DC5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4B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qFormat/>
    <w:rsid w:val="00D004BB"/>
    <w:pPr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kapitzlist">
    <w:name w:val="List Paragraph"/>
    <w:basedOn w:val="Standard"/>
    <w:qFormat/>
    <w:rsid w:val="00D004BB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Klepajczuk</dc:creator>
  <cp:keywords/>
  <dc:description/>
  <cp:lastModifiedBy>Katarzyna Klepajczuk</cp:lastModifiedBy>
  <cp:revision>1</cp:revision>
  <dcterms:created xsi:type="dcterms:W3CDTF">2016-11-16T12:39:00Z</dcterms:created>
  <dcterms:modified xsi:type="dcterms:W3CDTF">2016-11-16T12:39:00Z</dcterms:modified>
</cp:coreProperties>
</file>