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5D" w:rsidRPr="008C0F74" w:rsidRDefault="00CC7923" w:rsidP="008C0F74">
      <w:pPr>
        <w:spacing w:line="360" w:lineRule="auto"/>
        <w:rPr>
          <w:b/>
        </w:rPr>
      </w:pPr>
      <w:r>
        <w:rPr>
          <w:b/>
        </w:rPr>
        <w:t>ZDP/ PN-11</w:t>
      </w:r>
      <w:bookmarkStart w:id="0" w:name="_GoBack"/>
      <w:bookmarkEnd w:id="0"/>
      <w:r w:rsidR="0075025D" w:rsidRPr="008C0F74">
        <w:rPr>
          <w:b/>
        </w:rPr>
        <w:t>/201</w:t>
      </w:r>
      <w:r w:rsidR="009312FE">
        <w:rPr>
          <w:b/>
        </w:rPr>
        <w:t>8</w:t>
      </w:r>
      <w:r w:rsidR="0075025D" w:rsidRPr="008C0F74">
        <w:rPr>
          <w:b/>
        </w:rPr>
        <w:t xml:space="preserve">                  </w:t>
      </w:r>
    </w:p>
    <w:p w:rsidR="0075025D" w:rsidRPr="008C0F74" w:rsidRDefault="0075025D" w:rsidP="008C0F74">
      <w:pPr>
        <w:spacing w:line="360" w:lineRule="auto"/>
      </w:pPr>
    </w:p>
    <w:p w:rsidR="0075025D" w:rsidRPr="00655070" w:rsidRDefault="0075025D" w:rsidP="00655070">
      <w:pPr>
        <w:spacing w:line="360" w:lineRule="auto"/>
        <w:jc w:val="center"/>
        <w:rPr>
          <w:b/>
          <w:sz w:val="44"/>
          <w:szCs w:val="44"/>
        </w:rPr>
      </w:pPr>
      <w:r w:rsidRPr="00655070">
        <w:rPr>
          <w:b/>
          <w:sz w:val="44"/>
          <w:szCs w:val="44"/>
        </w:rPr>
        <w:t>Opis Przedmiotu Zamówienia</w:t>
      </w:r>
    </w:p>
    <w:p w:rsidR="0075025D" w:rsidRPr="00655070" w:rsidRDefault="0075025D" w:rsidP="00655070">
      <w:pPr>
        <w:spacing w:line="360" w:lineRule="auto"/>
        <w:jc w:val="center"/>
        <w:rPr>
          <w:b/>
          <w:sz w:val="24"/>
          <w:szCs w:val="24"/>
        </w:rPr>
      </w:pPr>
      <w:r w:rsidRPr="008C0F74">
        <w:t xml:space="preserve">dla zadania pn.: „ </w:t>
      </w:r>
      <w:r w:rsidRPr="00655070">
        <w:rPr>
          <w:b/>
          <w:sz w:val="24"/>
          <w:szCs w:val="24"/>
        </w:rPr>
        <w:t>Koszenie pasa drogowego dróg wojewódzkich na terenie</w:t>
      </w:r>
      <w:r w:rsidR="009312FE">
        <w:rPr>
          <w:b/>
          <w:sz w:val="24"/>
          <w:szCs w:val="24"/>
        </w:rPr>
        <w:t xml:space="preserve"> Powiatu wołowskiego w roku 2018</w:t>
      </w:r>
      <w:r w:rsidRPr="00655070">
        <w:rPr>
          <w:b/>
          <w:sz w:val="24"/>
          <w:szCs w:val="24"/>
        </w:rPr>
        <w:t>”</w:t>
      </w:r>
    </w:p>
    <w:p w:rsidR="0075025D" w:rsidRPr="00655070" w:rsidRDefault="0075025D" w:rsidP="008C0F74">
      <w:pPr>
        <w:spacing w:line="360" w:lineRule="auto"/>
        <w:jc w:val="center"/>
        <w:rPr>
          <w:b/>
        </w:rPr>
      </w:pPr>
    </w:p>
    <w:p w:rsidR="00C27F3B" w:rsidRPr="00655070" w:rsidRDefault="00C27F3B" w:rsidP="008C0F7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655070">
        <w:rPr>
          <w:b/>
        </w:rPr>
        <w:t>Opis zamówienia:</w:t>
      </w:r>
    </w:p>
    <w:p w:rsidR="00C27F3B" w:rsidRPr="008C0F74" w:rsidRDefault="00C27F3B" w:rsidP="008C0F74">
      <w:pPr>
        <w:pStyle w:val="Akapitzlist"/>
        <w:spacing w:line="360" w:lineRule="auto"/>
        <w:ind w:left="1080"/>
        <w:jc w:val="both"/>
      </w:pPr>
    </w:p>
    <w:p w:rsidR="002B18BC" w:rsidRDefault="0075025D" w:rsidP="00655070">
      <w:pPr>
        <w:pStyle w:val="Akapitzlist"/>
        <w:spacing w:line="360" w:lineRule="auto"/>
        <w:ind w:left="1080"/>
        <w:jc w:val="both"/>
      </w:pPr>
      <w:r w:rsidRPr="008C0F74">
        <w:t xml:space="preserve">Przedmiotem zamówienia jest mechaniczne koszenie traw i chwastów </w:t>
      </w:r>
      <w:r w:rsidR="006B5092">
        <w:t xml:space="preserve">i jednorocznych odrostów (tzw. wilków) </w:t>
      </w:r>
      <w:r w:rsidRPr="008C0F74">
        <w:t xml:space="preserve">kosiarkami z ręcznym obkaszaniem pachołków, drzew, znaków drogowych, barier i innych urządzeń bezpieczeństwa ruchu drogowego w pasie drogowym dróg wojewódzkich. </w:t>
      </w:r>
      <w:r w:rsidR="002B18BC">
        <w:t xml:space="preserve">Usługa podzielona jest na dwie części: </w:t>
      </w:r>
    </w:p>
    <w:p w:rsidR="002B18BC" w:rsidRDefault="002B18BC" w:rsidP="002B18BC">
      <w:pPr>
        <w:pStyle w:val="Akapitzlist"/>
        <w:numPr>
          <w:ilvl w:val="0"/>
          <w:numId w:val="5"/>
        </w:numPr>
        <w:spacing w:line="360" w:lineRule="auto"/>
        <w:jc w:val="both"/>
      </w:pPr>
      <w:r>
        <w:t>część I - koszenie poboczy oraz skrzyżowań, które</w:t>
      </w:r>
      <w:r w:rsidRPr="008C0F74">
        <w:t xml:space="preserve"> należy obkaszać włącznie z wlotami w obrębie trójkąta widoczności.</w:t>
      </w:r>
    </w:p>
    <w:p w:rsidR="002B18BC" w:rsidRDefault="002B18BC" w:rsidP="002B18BC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część II – koszenie </w:t>
      </w:r>
      <w:r w:rsidR="0075025D" w:rsidRPr="008C0F74">
        <w:t>skarp, przeciwskarp, nasypów oraz innych terenów wch</w:t>
      </w:r>
      <w:r w:rsidR="002F7058">
        <w:t>odzących w skład pasa drogowego</w:t>
      </w:r>
      <w:r w:rsidR="0075025D" w:rsidRPr="008C0F74">
        <w:t xml:space="preserve">. </w:t>
      </w:r>
    </w:p>
    <w:p w:rsidR="008B3EFD" w:rsidRDefault="003F0D0B" w:rsidP="002B18BC">
      <w:pPr>
        <w:spacing w:line="360" w:lineRule="auto"/>
        <w:ind w:left="1080"/>
        <w:jc w:val="both"/>
      </w:pPr>
      <w:r w:rsidRPr="008C0F74">
        <w:t xml:space="preserve">Dokładny zakres dla każdego odcinka ustala Osoba wyznaczona przez zamawiającego </w:t>
      </w:r>
      <w:r w:rsidR="002F7058">
        <w:t>d</w:t>
      </w:r>
      <w:r w:rsidRPr="008C0F74">
        <w:t xml:space="preserve">o nadzoru nad pracami. Powyższe zadanie nie wymaga zbierania skoszonej trawy </w:t>
      </w:r>
      <w:r w:rsidR="003A066C" w:rsidRPr="008C0F74">
        <w:t xml:space="preserve">poza terenem zabudowanym. Do koszenia należy użyć kosiarek dopuszczonych do pracy na drogach publicznych w ilości określonej w SIWZ celem wykonania terminowo zadania. Wykonawca powinien zabezpieczyć zasoby ludzkie w tylu osobach, ażeby zamówienie wykonać w terminie. </w:t>
      </w:r>
    </w:p>
    <w:p w:rsidR="00655070" w:rsidRDefault="008B3EFD" w:rsidP="00655070">
      <w:pPr>
        <w:pStyle w:val="Akapitzlist"/>
        <w:spacing w:line="360" w:lineRule="auto"/>
        <w:ind w:left="1080"/>
        <w:jc w:val="both"/>
      </w:pPr>
      <w:r w:rsidRPr="00C5639D">
        <w:rPr>
          <w:color w:val="FF0000"/>
        </w:rPr>
        <w:t xml:space="preserve">W ofercie cenowej należy podać cenę za </w:t>
      </w:r>
      <w:r w:rsidR="00C5639D" w:rsidRPr="00C5639D">
        <w:rPr>
          <w:color w:val="FF0000"/>
        </w:rPr>
        <w:t>jedną krotność koszenia</w:t>
      </w:r>
      <w:r w:rsidRPr="00C5639D">
        <w:rPr>
          <w:color w:val="FF0000"/>
        </w:rPr>
        <w:t xml:space="preserve">. Krotność pokosów uzależniona będzie od ilości środków finansowych posiadanych przez Zamawiającego. </w:t>
      </w:r>
      <w:r w:rsidR="003A066C" w:rsidRPr="008C0F74">
        <w:t>Ponadto przewiduje się, że ze względu na tempo wzrostu traw i chwastów zależnych od warunków pogodowych, Zamawiający nie podaje dokładnych terminów wykonania poszczególnych pokosów. Dokładne odcinki dróg, zakres koszenia oraz termin rozpoczęcia usługi wskazuje każdorazowo Zamawiający.</w:t>
      </w:r>
    </w:p>
    <w:p w:rsidR="00655070" w:rsidRDefault="00655070" w:rsidP="00655070">
      <w:pPr>
        <w:pStyle w:val="Akapitzlist"/>
        <w:spacing w:line="360" w:lineRule="auto"/>
        <w:ind w:left="1080"/>
        <w:jc w:val="both"/>
      </w:pPr>
    </w:p>
    <w:p w:rsidR="00655070" w:rsidRDefault="00655070" w:rsidP="00655070">
      <w:pPr>
        <w:pStyle w:val="Akapitzlist"/>
        <w:spacing w:line="360" w:lineRule="auto"/>
        <w:ind w:left="1080"/>
        <w:jc w:val="both"/>
      </w:pPr>
    </w:p>
    <w:p w:rsidR="00655070" w:rsidRDefault="00655070" w:rsidP="00655070">
      <w:pPr>
        <w:pStyle w:val="Akapitzlist"/>
        <w:spacing w:line="360" w:lineRule="auto"/>
        <w:ind w:left="1080"/>
        <w:jc w:val="both"/>
      </w:pPr>
    </w:p>
    <w:p w:rsidR="00655070" w:rsidRDefault="00655070" w:rsidP="00655070">
      <w:pPr>
        <w:pStyle w:val="Akapitzlist"/>
        <w:spacing w:line="360" w:lineRule="auto"/>
        <w:ind w:left="1080"/>
        <w:jc w:val="both"/>
      </w:pPr>
    </w:p>
    <w:p w:rsidR="00655070" w:rsidRDefault="00655070" w:rsidP="00655070">
      <w:pPr>
        <w:pStyle w:val="Akapitzlist"/>
        <w:spacing w:line="360" w:lineRule="auto"/>
        <w:ind w:left="1080"/>
        <w:jc w:val="both"/>
      </w:pPr>
    </w:p>
    <w:p w:rsidR="00655070" w:rsidRDefault="00655070" w:rsidP="00655070">
      <w:pPr>
        <w:pStyle w:val="Akapitzlist"/>
        <w:spacing w:line="360" w:lineRule="auto"/>
        <w:ind w:left="1080"/>
        <w:jc w:val="both"/>
      </w:pPr>
    </w:p>
    <w:p w:rsidR="00655070" w:rsidRPr="008C0F74" w:rsidRDefault="00655070" w:rsidP="00655070">
      <w:pPr>
        <w:pStyle w:val="Akapitzlist"/>
        <w:spacing w:line="360" w:lineRule="auto"/>
        <w:ind w:left="1080"/>
        <w:jc w:val="both"/>
      </w:pPr>
    </w:p>
    <w:p w:rsidR="00C27F3B" w:rsidRPr="008C0F74" w:rsidRDefault="00C27F3B" w:rsidP="008C0F74">
      <w:pPr>
        <w:pStyle w:val="Akapitzlist"/>
        <w:spacing w:line="360" w:lineRule="auto"/>
        <w:ind w:left="1080"/>
        <w:jc w:val="both"/>
      </w:pPr>
    </w:p>
    <w:p w:rsidR="00C27F3B" w:rsidRDefault="00C27F3B" w:rsidP="008C0F7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655070">
        <w:rPr>
          <w:b/>
        </w:rPr>
        <w:t>Tabelaryczne zestawienie ilości: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A17EDF" w:rsidTr="00A17EDF">
        <w:tc>
          <w:tcPr>
            <w:tcW w:w="2405" w:type="dxa"/>
          </w:tcPr>
          <w:p w:rsidR="00A17EDF" w:rsidRDefault="00A17EDF" w:rsidP="00A17ED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Nr drogi</w:t>
            </w:r>
          </w:p>
        </w:tc>
        <w:tc>
          <w:tcPr>
            <w:tcW w:w="3636" w:type="dxa"/>
          </w:tcPr>
          <w:p w:rsidR="00A17EDF" w:rsidRDefault="00A17EDF" w:rsidP="00A17ED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Zakres koszenia</w:t>
            </w:r>
          </w:p>
        </w:tc>
        <w:tc>
          <w:tcPr>
            <w:tcW w:w="3021" w:type="dxa"/>
          </w:tcPr>
          <w:p w:rsidR="00A17EDF" w:rsidRDefault="00A17EDF" w:rsidP="00A17ED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Powierzchnia</w:t>
            </w:r>
          </w:p>
        </w:tc>
      </w:tr>
      <w:tr w:rsidR="00A17EDF" w:rsidTr="00A17EDF">
        <w:tc>
          <w:tcPr>
            <w:tcW w:w="2405" w:type="dxa"/>
          </w:tcPr>
          <w:p w:rsidR="00A17EDF" w:rsidRDefault="00A17EDF" w:rsidP="00A17EDF">
            <w:pPr>
              <w:spacing w:line="360" w:lineRule="auto"/>
              <w:jc w:val="both"/>
              <w:rPr>
                <w:b/>
              </w:rPr>
            </w:pPr>
            <w:r w:rsidRPr="00A17EDF">
              <w:rPr>
                <w:b/>
              </w:rPr>
              <w:t>334, 338, 339, 340, 341</w:t>
            </w:r>
          </w:p>
        </w:tc>
        <w:tc>
          <w:tcPr>
            <w:tcW w:w="3636" w:type="dxa"/>
          </w:tcPr>
          <w:p w:rsidR="00A17EDF" w:rsidRDefault="00A17EDF" w:rsidP="00A17ED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Koszenie poboczy i skrzyżowań wraz z obkaszaniem pachołków, znaków drogowych i urządzeń BRD</w:t>
            </w:r>
          </w:p>
        </w:tc>
        <w:tc>
          <w:tcPr>
            <w:tcW w:w="3021" w:type="dxa"/>
          </w:tcPr>
          <w:p w:rsidR="00A17EDF" w:rsidRDefault="0057404D" w:rsidP="00A17ED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46</w:t>
            </w:r>
            <w:r w:rsidR="00A17EDF">
              <w:rPr>
                <w:b/>
              </w:rPr>
              <w:t xml:space="preserve"> ha</w:t>
            </w:r>
          </w:p>
        </w:tc>
      </w:tr>
      <w:tr w:rsidR="00A17EDF" w:rsidTr="00A17EDF">
        <w:tc>
          <w:tcPr>
            <w:tcW w:w="2405" w:type="dxa"/>
          </w:tcPr>
          <w:p w:rsidR="00A17EDF" w:rsidRDefault="00A17EDF" w:rsidP="00A17ED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334, 338, 339, 340, 341</w:t>
            </w:r>
          </w:p>
        </w:tc>
        <w:tc>
          <w:tcPr>
            <w:tcW w:w="3636" w:type="dxa"/>
          </w:tcPr>
          <w:p w:rsidR="00A17EDF" w:rsidRDefault="00A17EDF" w:rsidP="00A17ED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Koszenie skarp i przeciwskarp wraz z obkaszaniem urządzeń BRD</w:t>
            </w:r>
          </w:p>
        </w:tc>
        <w:tc>
          <w:tcPr>
            <w:tcW w:w="3021" w:type="dxa"/>
          </w:tcPr>
          <w:p w:rsidR="00A17EDF" w:rsidRDefault="00A17EDF" w:rsidP="00A17ED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77 ha</w:t>
            </w:r>
          </w:p>
        </w:tc>
      </w:tr>
    </w:tbl>
    <w:p w:rsidR="00A17EDF" w:rsidRPr="00A17EDF" w:rsidRDefault="00A17EDF" w:rsidP="00A17EDF">
      <w:pPr>
        <w:spacing w:line="360" w:lineRule="auto"/>
        <w:jc w:val="both"/>
        <w:rPr>
          <w:b/>
        </w:rPr>
      </w:pPr>
    </w:p>
    <w:p w:rsidR="00C27F3B" w:rsidRPr="008C0F74" w:rsidRDefault="00C27F3B" w:rsidP="00A17EDF">
      <w:pPr>
        <w:spacing w:line="360" w:lineRule="auto"/>
        <w:jc w:val="both"/>
      </w:pPr>
    </w:p>
    <w:p w:rsidR="000A7587" w:rsidRDefault="00204A66" w:rsidP="00204A66">
      <w:pPr>
        <w:spacing w:line="360" w:lineRule="auto"/>
        <w:jc w:val="both"/>
      </w:pPr>
      <w:r w:rsidRPr="00204A66">
        <w:t>W związku z niemożnością dokładnego określenia wielkości zamówienia przewidywane do wykonania i wskazane w Opisie Przedmiotu Zamówienia zakres i ilość prac są jedynie szacunkowe i nie mogą stanowić podstawy do dochodzenia przez Wykonawcę roszczeń z tytułu niewykonania w całości przedmiotu umowy. W przypadku braku konieczności wykonania pokosów w całości lub w części z jakiejkolwiek przyczyny, Wykonawcy nie przysługują z tego tytułu żadne roszczenia, w tym roszczenie o zapłatę wynagrodzenia.</w:t>
      </w:r>
    </w:p>
    <w:p w:rsidR="00204A66" w:rsidRDefault="00204A66" w:rsidP="00204A66">
      <w:pPr>
        <w:spacing w:line="360" w:lineRule="auto"/>
        <w:jc w:val="both"/>
      </w:pPr>
    </w:p>
    <w:p w:rsidR="00204A66" w:rsidRPr="008C0F74" w:rsidRDefault="00204A66" w:rsidP="00204A66">
      <w:pPr>
        <w:spacing w:line="360" w:lineRule="auto"/>
        <w:jc w:val="both"/>
      </w:pPr>
    </w:p>
    <w:p w:rsidR="000A7587" w:rsidRPr="008C0F74" w:rsidRDefault="000A7587" w:rsidP="008C0F74">
      <w:pPr>
        <w:pStyle w:val="Akapitzlist"/>
        <w:spacing w:line="360" w:lineRule="auto"/>
        <w:ind w:left="1080"/>
        <w:jc w:val="both"/>
      </w:pPr>
    </w:p>
    <w:p w:rsidR="000A7587" w:rsidRPr="00655070" w:rsidRDefault="000A7587" w:rsidP="008C0F7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655070">
        <w:rPr>
          <w:b/>
        </w:rPr>
        <w:t>Uwagi ogólne:</w:t>
      </w:r>
    </w:p>
    <w:p w:rsidR="000A7587" w:rsidRDefault="002F7058" w:rsidP="008C0F74">
      <w:pPr>
        <w:pStyle w:val="Akapitzlist"/>
        <w:numPr>
          <w:ilvl w:val="0"/>
          <w:numId w:val="3"/>
        </w:numPr>
        <w:spacing w:line="360" w:lineRule="auto"/>
        <w:jc w:val="both"/>
      </w:pPr>
      <w:r>
        <w:t>prace</w:t>
      </w:r>
      <w:r w:rsidR="000A7587" w:rsidRPr="008C0F74">
        <w:t xml:space="preserve"> należy prowadzić i wykonywać zgodnie ze sztuką oraz zleceniami podanymi dostosowania w Ogólnej Specyfikacji Technicznej i Szczegółowej Specyfikacji technicznej.</w:t>
      </w:r>
    </w:p>
    <w:p w:rsidR="009312FE" w:rsidRPr="008C0F74" w:rsidRDefault="009312FE" w:rsidP="008C0F74">
      <w:pPr>
        <w:pStyle w:val="Akapitzlist"/>
        <w:numPr>
          <w:ilvl w:val="0"/>
          <w:numId w:val="3"/>
        </w:numPr>
        <w:spacing w:line="360" w:lineRule="auto"/>
        <w:jc w:val="both"/>
      </w:pPr>
      <w:r>
        <w:t>Zamawiającemu służy prawo do rezygnacji z części zamówienia bez prawa do roszczeń ze strony Wykonawcy.</w:t>
      </w:r>
    </w:p>
    <w:p w:rsidR="000A7587" w:rsidRPr="008C0F74" w:rsidRDefault="000A7587" w:rsidP="008C0F74">
      <w:pPr>
        <w:pStyle w:val="Akapitzlist"/>
        <w:numPr>
          <w:ilvl w:val="0"/>
          <w:numId w:val="3"/>
        </w:numPr>
        <w:spacing w:line="360" w:lineRule="auto"/>
        <w:jc w:val="both"/>
      </w:pPr>
      <w:r w:rsidRPr="008C0F74">
        <w:t>w celu wykonania zadania w pasie drogowym Wykonawca zobowiązany jest do zabezpieczenia i oznakowania miejsca prowadzenia robót zgodnie z obowiązującymi przepisami. Koszt wykonania i zatwierdzenia niezbędnych projektów</w:t>
      </w:r>
      <w:r w:rsidR="002F7058">
        <w:t xml:space="preserve"> oznakowania na czas prowadzenia prac</w:t>
      </w:r>
      <w:r w:rsidRPr="008C0F74">
        <w:t xml:space="preserve"> należy wliczyć do ceny jednostkowych robót.</w:t>
      </w:r>
    </w:p>
    <w:p w:rsidR="002F7058" w:rsidRDefault="000A7587" w:rsidP="008C0F74">
      <w:pPr>
        <w:pStyle w:val="Akapitzlist"/>
        <w:numPr>
          <w:ilvl w:val="0"/>
          <w:numId w:val="3"/>
        </w:numPr>
        <w:spacing w:line="360" w:lineRule="auto"/>
        <w:jc w:val="both"/>
      </w:pPr>
      <w:r w:rsidRPr="008C0F74">
        <w:lastRenderedPageBreak/>
        <w:t>Wykonawca odpowiada za wszelkie szkody wyrządzone Zamawiającemu czy też osobom trzecim a spowodowane niewłaściwym wykonywaniem robót, oznakowanie, nie zachowaniem należytej ostrożności podczas realizacji umowy</w:t>
      </w:r>
      <w:r w:rsidR="002F7058">
        <w:t>.</w:t>
      </w:r>
    </w:p>
    <w:p w:rsidR="000A7587" w:rsidRDefault="000A7587" w:rsidP="002F7058">
      <w:pPr>
        <w:pStyle w:val="Akapitzlist"/>
        <w:spacing w:line="360" w:lineRule="auto"/>
        <w:jc w:val="both"/>
      </w:pPr>
    </w:p>
    <w:p w:rsidR="000A7587" w:rsidRPr="00655070" w:rsidRDefault="000A7587" w:rsidP="008C0F7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655070">
        <w:rPr>
          <w:b/>
        </w:rPr>
        <w:t>Wymagania dla Wykonawcy dotyczące zatrudnienia na umowę o pracę</w:t>
      </w:r>
      <w:r w:rsidR="00837ED0" w:rsidRPr="00655070">
        <w:rPr>
          <w:b/>
        </w:rPr>
        <w:t>:</w:t>
      </w:r>
    </w:p>
    <w:p w:rsidR="00837ED0" w:rsidRPr="00837ED0" w:rsidRDefault="00837ED0" w:rsidP="002F7058">
      <w:pPr>
        <w:pStyle w:val="Style20"/>
        <w:widowControl/>
        <w:numPr>
          <w:ilvl w:val="0"/>
          <w:numId w:val="4"/>
        </w:numPr>
        <w:tabs>
          <w:tab w:val="left" w:pos="709"/>
        </w:tabs>
        <w:spacing w:before="96" w:line="276" w:lineRule="auto"/>
        <w:ind w:left="709" w:hanging="283"/>
        <w:rPr>
          <w:rStyle w:val="FontStyle64"/>
          <w:rFonts w:asciiTheme="minorHAnsi" w:hAnsiTheme="minorHAnsi" w:cs="Tahoma"/>
          <w:b w:val="0"/>
          <w:bCs w:val="0"/>
          <w:color w:val="auto"/>
          <w:sz w:val="22"/>
          <w:szCs w:val="22"/>
        </w:rPr>
      </w:pPr>
      <w:r w:rsidRPr="00837ED0">
        <w:rPr>
          <w:rStyle w:val="FontStyle64"/>
          <w:rFonts w:asciiTheme="minorHAnsi" w:hAnsiTheme="minorHAnsi"/>
          <w:b w:val="0"/>
          <w:sz w:val="22"/>
          <w:szCs w:val="22"/>
        </w:rPr>
        <w:t>Zamawiający wymaga, by czynności bezpośrednio związane z realizacją zadania, w szczególności związane z faktycznym wykonywaniem usługi (na stanowiskach: osoba odpowiedzialna za realizację zadania) wykonywane były przez osoby zatrudnione przez wykonawcę lub Podwykonawcę na podstawie umowy o pracę w rozumieniu przepisów ustawy z dnia 26 czerwca 1974 r. – Kodeks pracy ( Dz. U. z 2014r. poz. 1502 z póżn. zm.);</w:t>
      </w:r>
    </w:p>
    <w:p w:rsidR="00837ED0" w:rsidRPr="00837ED0" w:rsidRDefault="00837ED0" w:rsidP="002F7058">
      <w:pPr>
        <w:pStyle w:val="Style20"/>
        <w:widowControl/>
        <w:numPr>
          <w:ilvl w:val="0"/>
          <w:numId w:val="4"/>
        </w:numPr>
        <w:tabs>
          <w:tab w:val="left" w:pos="709"/>
        </w:tabs>
        <w:spacing w:before="96" w:line="276" w:lineRule="auto"/>
        <w:ind w:left="709" w:hanging="283"/>
        <w:rPr>
          <w:rStyle w:val="FontStyle64"/>
          <w:rFonts w:asciiTheme="minorHAnsi" w:hAnsiTheme="minorHAnsi" w:cs="Tahoma"/>
          <w:b w:val="0"/>
          <w:bCs w:val="0"/>
          <w:color w:val="auto"/>
          <w:sz w:val="22"/>
          <w:szCs w:val="22"/>
        </w:rPr>
      </w:pPr>
      <w:r w:rsidRPr="00837ED0">
        <w:rPr>
          <w:rStyle w:val="FontStyle64"/>
          <w:rFonts w:asciiTheme="minorHAnsi" w:hAnsiTheme="minorHAnsi"/>
          <w:b w:val="0"/>
          <w:sz w:val="22"/>
          <w:szCs w:val="22"/>
        </w:rPr>
        <w:t>zatrudnienie na podstawie umowy o pracę wyżej wymienionych osób powinno trwać nieprzerwanie przez cały okres trwania umowy;</w:t>
      </w:r>
    </w:p>
    <w:p w:rsidR="00837ED0" w:rsidRPr="00837ED0" w:rsidRDefault="00837ED0" w:rsidP="002F7058">
      <w:pPr>
        <w:pStyle w:val="Style20"/>
        <w:widowControl/>
        <w:numPr>
          <w:ilvl w:val="0"/>
          <w:numId w:val="4"/>
        </w:numPr>
        <w:tabs>
          <w:tab w:val="left" w:pos="709"/>
        </w:tabs>
        <w:spacing w:before="96" w:line="276" w:lineRule="auto"/>
        <w:ind w:left="709" w:hanging="283"/>
        <w:rPr>
          <w:rStyle w:val="FontStyle64"/>
          <w:rFonts w:asciiTheme="minorHAnsi" w:hAnsiTheme="minorHAnsi" w:cs="Tahoma"/>
          <w:b w:val="0"/>
          <w:bCs w:val="0"/>
          <w:color w:val="auto"/>
          <w:sz w:val="22"/>
          <w:szCs w:val="22"/>
        </w:rPr>
      </w:pPr>
      <w:r w:rsidRPr="00837ED0">
        <w:rPr>
          <w:rStyle w:val="FontStyle64"/>
          <w:rFonts w:asciiTheme="minorHAnsi" w:hAnsiTheme="minorHAnsi"/>
          <w:b w:val="0"/>
          <w:sz w:val="22"/>
          <w:szCs w:val="22"/>
        </w:rPr>
        <w:t>Wykonawca zobowiązany jest do przedłożenia w terminie określonym zapisami umowy i aktualizowania na bieżąco, tj. za każdym razem, gdy dojdzie do zmiany personalnej, listy osób biorących udział w realizacji zamówienie i zatrudnionych na umowę o pracę;</w:t>
      </w:r>
    </w:p>
    <w:p w:rsidR="00837ED0" w:rsidRPr="00837ED0" w:rsidRDefault="00837ED0" w:rsidP="002F7058">
      <w:pPr>
        <w:pStyle w:val="Style20"/>
        <w:widowControl/>
        <w:numPr>
          <w:ilvl w:val="0"/>
          <w:numId w:val="4"/>
        </w:numPr>
        <w:tabs>
          <w:tab w:val="left" w:pos="709"/>
        </w:tabs>
        <w:spacing w:before="96" w:line="276" w:lineRule="auto"/>
        <w:ind w:left="709" w:hanging="283"/>
        <w:rPr>
          <w:rStyle w:val="FontStyle64"/>
          <w:rFonts w:asciiTheme="minorHAnsi" w:hAnsiTheme="minorHAnsi"/>
          <w:b w:val="0"/>
          <w:bCs w:val="0"/>
          <w:sz w:val="22"/>
          <w:szCs w:val="22"/>
        </w:rPr>
      </w:pPr>
      <w:r w:rsidRPr="00837ED0">
        <w:rPr>
          <w:rStyle w:val="FontStyle64"/>
          <w:rFonts w:asciiTheme="minorHAnsi" w:hAnsiTheme="minorHAnsi"/>
          <w:b w:val="0"/>
          <w:sz w:val="22"/>
          <w:szCs w:val="22"/>
        </w:rPr>
        <w:t>lista osób biorących udział w realizacji zamówienia musi zawierać pełen skład pracowników zatrudnionych na umowę o pracę wraz z określeniem pełnionych funkcji a także okresu obowiązywania umowy.</w:t>
      </w:r>
    </w:p>
    <w:p w:rsidR="00837ED0" w:rsidRDefault="00837ED0" w:rsidP="00837ED0">
      <w:pPr>
        <w:pStyle w:val="Akapitzlist"/>
        <w:ind w:left="1080"/>
        <w:jc w:val="both"/>
      </w:pPr>
    </w:p>
    <w:sectPr w:rsidR="0083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7BB9"/>
    <w:multiLevelType w:val="hybridMultilevel"/>
    <w:tmpl w:val="6B8A0B5C"/>
    <w:lvl w:ilvl="0" w:tplc="2382B4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0E7A05"/>
    <w:multiLevelType w:val="hybridMultilevel"/>
    <w:tmpl w:val="BC14FB1C"/>
    <w:lvl w:ilvl="0" w:tplc="601208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7354CC"/>
    <w:multiLevelType w:val="hybridMultilevel"/>
    <w:tmpl w:val="BFB2B9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79CF"/>
    <w:multiLevelType w:val="hybridMultilevel"/>
    <w:tmpl w:val="51AA7092"/>
    <w:lvl w:ilvl="0" w:tplc="39F25CE0">
      <w:start w:val="1"/>
      <w:numFmt w:val="lowerLetter"/>
      <w:lvlText w:val="%1)"/>
      <w:lvlJc w:val="left"/>
      <w:pPr>
        <w:ind w:left="1920" w:hanging="360"/>
      </w:pPr>
      <w:rPr>
        <w:rFonts w:ascii="Calibri" w:hAnsi="Calibri"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6D14F40"/>
    <w:multiLevelType w:val="hybridMultilevel"/>
    <w:tmpl w:val="62361C54"/>
    <w:lvl w:ilvl="0" w:tplc="87BE0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5D"/>
    <w:rsid w:val="000A7587"/>
    <w:rsid w:val="00204A66"/>
    <w:rsid w:val="002B18BC"/>
    <w:rsid w:val="002F7058"/>
    <w:rsid w:val="003A066C"/>
    <w:rsid w:val="003F0D0B"/>
    <w:rsid w:val="004029EA"/>
    <w:rsid w:val="00495251"/>
    <w:rsid w:val="0057404D"/>
    <w:rsid w:val="005740C8"/>
    <w:rsid w:val="00655070"/>
    <w:rsid w:val="006B5092"/>
    <w:rsid w:val="0075025D"/>
    <w:rsid w:val="00837ED0"/>
    <w:rsid w:val="008B3EFD"/>
    <w:rsid w:val="008C0F74"/>
    <w:rsid w:val="009312FE"/>
    <w:rsid w:val="009E7701"/>
    <w:rsid w:val="00A17EDF"/>
    <w:rsid w:val="00C27F3B"/>
    <w:rsid w:val="00C5639D"/>
    <w:rsid w:val="00CA587B"/>
    <w:rsid w:val="00CC7923"/>
    <w:rsid w:val="00FA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0CBC1-6EA7-41D6-8E7A-EF0AE33C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F3B"/>
    <w:pPr>
      <w:ind w:left="720"/>
      <w:contextualSpacing/>
    </w:pPr>
  </w:style>
  <w:style w:type="character" w:customStyle="1" w:styleId="FontStyle64">
    <w:name w:val="Font Style64"/>
    <w:rsid w:val="00837ED0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20">
    <w:name w:val="Style20"/>
    <w:basedOn w:val="Normalny"/>
    <w:rsid w:val="00837ED0"/>
    <w:pPr>
      <w:widowControl w:val="0"/>
      <w:suppressAutoHyphens/>
      <w:autoSpaceDE w:val="0"/>
      <w:spacing w:after="0" w:line="217" w:lineRule="exact"/>
      <w:ind w:hanging="552"/>
      <w:jc w:val="both"/>
    </w:pPr>
    <w:rPr>
      <w:rFonts w:ascii="Tahoma" w:eastAsia="Times New Roman" w:hAnsi="Tahoma" w:cs="Tahom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1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2017-04-27T10:13:00Z</dcterms:created>
  <dcterms:modified xsi:type="dcterms:W3CDTF">2018-07-06T09:40:00Z</dcterms:modified>
</cp:coreProperties>
</file>