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7A" w:rsidRPr="00DD0067" w:rsidRDefault="00BD6A7A" w:rsidP="00BD6A7A">
      <w:pPr>
        <w:spacing w:after="0" w:line="240" w:lineRule="auto"/>
        <w:ind w:left="720"/>
        <w:jc w:val="center"/>
        <w:rPr>
          <w:rFonts w:cstheme="minorHAnsi"/>
          <w:b/>
        </w:rPr>
      </w:pPr>
      <w:bookmarkStart w:id="0" w:name="_GoBack"/>
      <w:bookmarkEnd w:id="0"/>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w związku z potencjalnym ryzykiem zakażenia koronawirusem</w:t>
      </w:r>
      <w:r w:rsidR="00AE7124">
        <w:rPr>
          <w:rFonts w:cstheme="minorHAnsi"/>
          <w:b/>
        </w:rPr>
        <w:t xml:space="preserve"> </w:t>
      </w:r>
    </w:p>
    <w:p w:rsidR="000E4AF4" w:rsidRDefault="000E4AF4" w:rsidP="00BD6A7A">
      <w:pPr>
        <w:spacing w:after="0" w:line="240" w:lineRule="auto"/>
        <w:ind w:left="720"/>
        <w:jc w:val="center"/>
        <w:rPr>
          <w:rFonts w:cstheme="minorHAnsi"/>
          <w:b/>
          <w:i/>
        </w:rPr>
      </w:pPr>
    </w:p>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stwierdzono występowanie koronawirusa</w:t>
      </w:r>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r w:rsidR="00FC17A5">
        <w:rPr>
          <w:rFonts w:cstheme="minorHAnsi"/>
        </w:rPr>
        <w:t>koronawirusa</w:t>
      </w:r>
      <w:r w:rsidRPr="00DD0067">
        <w:rPr>
          <w:rStyle w:val="Odwoanieprzypisudolnego"/>
          <w:rFonts w:cstheme="minorHAnsi"/>
        </w:rPr>
        <w:footnoteReference w:id="1"/>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koronawirusem</w:t>
      </w:r>
      <w:r w:rsidR="003A756C">
        <w:rPr>
          <w:rFonts w:cstheme="minorHAnsi"/>
        </w:rPr>
        <w:t>.</w:t>
      </w:r>
      <w:r w:rsidRPr="00DD0067">
        <w:rPr>
          <w:rFonts w:cstheme="minorHAnsi"/>
        </w:rPr>
        <w:t xml:space="preserve"> </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9"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10"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koronawirusem </w:t>
      </w:r>
      <w:r w:rsidRPr="00B273C5">
        <w:rPr>
          <w:rFonts w:cstheme="minorHAnsi"/>
        </w:rPr>
        <w:t>to:</w:t>
      </w:r>
      <w:r w:rsidR="00D4173F" w:rsidRPr="00B273C5">
        <w:rPr>
          <w:rFonts w:cstheme="minorHAnsi"/>
        </w:rPr>
        <w:t xml:space="preserve"> </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gov.pl/koronawirus)</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r w:rsidR="00FC17A5">
        <w:rPr>
          <w:rFonts w:cstheme="minorHAnsi"/>
        </w:rPr>
        <w:t>koronawirusa</w:t>
      </w:r>
      <w:r w:rsidRPr="0047239A">
        <w:rPr>
          <w:rFonts w:cstheme="minorHAnsi"/>
        </w:rPr>
        <w:t xml:space="preserve"> powinny być leczone w warunkach ambulatoryjnych w ramach podstawowej opieki zdrowotnej.</w:t>
      </w:r>
    </w:p>
    <w:p w:rsidR="00185393" w:rsidRDefault="00E15BC7" w:rsidP="00102254">
      <w:pPr>
        <w:spacing w:before="120" w:after="0" w:line="288" w:lineRule="auto"/>
        <w:jc w:val="both"/>
        <w:rPr>
          <w:rFonts w:cstheme="minorHAnsi"/>
        </w:rPr>
      </w:pPr>
      <w:r w:rsidRPr="00F23468">
        <w:rPr>
          <w:rFonts w:cstheme="minorHAnsi"/>
          <w:noProof/>
          <w:lang w:eastAsia="pl-PL"/>
        </w:rPr>
        <mc:AlternateContent>
          <mc:Choice Requires="wps">
            <w:drawing>
              <wp:anchor distT="45720" distB="45720" distL="114300" distR="114300" simplePos="0" relativeHeight="251661312" behindDoc="0" locked="0" layoutInCell="1" allowOverlap="1" wp14:anchorId="5359FB31" wp14:editId="3E0676F8">
                <wp:simplePos x="0" y="0"/>
                <wp:positionH relativeFrom="margin">
                  <wp:align>left</wp:align>
                </wp:positionH>
                <wp:positionV relativeFrom="paragraph">
                  <wp:posOffset>482600</wp:posOffset>
                </wp:positionV>
                <wp:extent cx="5741670" cy="718185"/>
                <wp:effectExtent l="0" t="0" r="1143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718185"/>
                        </a:xfrm>
                        <a:prstGeom prst="rect">
                          <a:avLst/>
                        </a:prstGeom>
                        <a:solidFill>
                          <a:srgbClr val="FFFFFF"/>
                        </a:solidFill>
                        <a:ln w="9525">
                          <a:solidFill>
                            <a:srgbClr val="000000"/>
                          </a:solidFill>
                          <a:miter lim="800000"/>
                          <a:headEnd/>
                          <a:tailEnd/>
                        </a:ln>
                      </wps:spPr>
                      <wps:txb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9FB31"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mc:Fallback>
        </mc:AlternateConten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Co to znaczy, że ktoś miał kontakt z osobą zakażoną nowym koronawirusem</w:t>
      </w:r>
      <w:r w:rsidR="00102254">
        <w:rPr>
          <w:rFonts w:cstheme="minorHAnsi"/>
        </w:rPr>
        <w:t>?</w:t>
      </w:r>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r w:rsidR="00A224A7">
        <w:rPr>
          <w:rFonts w:eastAsia="Times New Roman" w:cstheme="minorHAnsi"/>
          <w:color w:val="000000" w:themeColor="text1"/>
          <w:lang w:eastAsia="pl-PL"/>
        </w:rPr>
        <w:t>koronawirusa</w:t>
      </w:r>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t xml:space="preserve">kwalifikacji, </w:t>
      </w:r>
      <w:r w:rsidRPr="0012071F">
        <w:rPr>
          <w:rFonts w:cstheme="minorHAnsi"/>
        </w:rPr>
        <w:t xml:space="preserve">w </w:t>
      </w:r>
      <w:r w:rsidRPr="0012071F">
        <w:rPr>
          <w:rFonts w:cstheme="minorHAnsi"/>
        </w:rPr>
        <w:lastRenderedPageBreak/>
        <w:t>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r w:rsidR="00A224A7">
        <w:rPr>
          <w:rFonts w:cstheme="minorHAnsi"/>
          <w:b/>
          <w:bCs/>
        </w:rPr>
        <w:t>koronawirusa</w:t>
      </w:r>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r w:rsidR="00A224A7">
        <w:rPr>
          <w:rFonts w:cstheme="minorHAnsi"/>
          <w:b/>
          <w:color w:val="000000" w:themeColor="text1"/>
        </w:rPr>
        <w:t>koronawirusa</w:t>
      </w:r>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r w:rsidR="00A224A7">
        <w:rPr>
          <w:rFonts w:cstheme="minorHAnsi"/>
          <w:color w:val="000000" w:themeColor="text1"/>
        </w:rPr>
        <w:t>koronawirusa</w:t>
      </w:r>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C151BE" w:rsidP="00C151BE">
      <w:pPr>
        <w:spacing w:after="0" w:line="288" w:lineRule="auto"/>
        <w:rPr>
          <w:rFonts w:cstheme="minorHAnsi"/>
          <w:bCs/>
        </w:rPr>
      </w:pPr>
      <w:r w:rsidRPr="00C151BE">
        <w:rPr>
          <w:rFonts w:cstheme="minorHAnsi"/>
          <w:bCs/>
          <w:noProof/>
          <w:lang w:eastAsia="pl-PL"/>
        </w:rPr>
        <mc:AlternateContent>
          <mc:Choice Requires="wps">
            <w:drawing>
              <wp:anchor distT="45720" distB="45720" distL="114300" distR="114300" simplePos="0" relativeHeight="251659264" behindDoc="0" locked="0" layoutInCell="1" allowOverlap="1" wp14:anchorId="0AF2E814" wp14:editId="67750E27">
                <wp:simplePos x="0" y="0"/>
                <wp:positionH relativeFrom="margin">
                  <wp:align>right</wp:align>
                </wp:positionH>
                <wp:positionV relativeFrom="paragraph">
                  <wp:posOffset>234463</wp:posOffset>
                </wp:positionV>
                <wp:extent cx="5753100" cy="2623820"/>
                <wp:effectExtent l="0" t="0" r="19050" b="241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23820"/>
                        </a:xfrm>
                        <a:prstGeom prst="rect">
                          <a:avLst/>
                        </a:prstGeom>
                        <a:solidFill>
                          <a:srgbClr val="FFFFFF"/>
                        </a:solidFill>
                        <a:ln w="9525">
                          <a:solidFill>
                            <a:srgbClr val="000000"/>
                          </a:solidFill>
                          <a:miter lim="800000"/>
                          <a:headEnd/>
                          <a:tailEnd/>
                        </a:ln>
                      </wps:spPr>
                      <wps:txb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E814" id="_x0000_s1027" type="#_x0000_t202" style="position:absolute;margin-left:401.8pt;margin-top:18.45pt;width:453pt;height:20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mc:Fallback>
        </mc:AlternateConten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koronawirusowi.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w:t>
      </w:r>
      <w:r w:rsidRPr="00BD3E59">
        <w:rPr>
          <w:rFonts w:cstheme="minorHAnsi"/>
          <w:bCs/>
          <w:color w:val="000000" w:themeColor="text1"/>
        </w:rPr>
        <w:lastRenderedPageBreak/>
        <w:t xml:space="preserve">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koronawirus,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1"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Pr>
          <w:rFonts w:cstheme="minorHAnsi"/>
          <w:b/>
        </w:rPr>
        <w:t xml:space="preserve"> </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koronawirus </w:t>
      </w:r>
      <w:r w:rsidRPr="00DC7ADF">
        <w:rPr>
          <w:rFonts w:cstheme="minorHAnsi"/>
          <w:b/>
        </w:rPr>
        <w:t>–</w:t>
      </w:r>
      <w:r>
        <w:rPr>
          <w:rFonts w:cstheme="minorHAnsi"/>
          <w:b/>
        </w:rPr>
        <w:t xml:space="preserve"> </w:t>
      </w:r>
      <w:r w:rsidRPr="00DC7ADF">
        <w:rPr>
          <w:rFonts w:cstheme="minorHAnsi"/>
          <w:b/>
        </w:rPr>
        <w:t xml:space="preserve">NIE należy </w:t>
      </w:r>
      <w:r>
        <w:rPr>
          <w:rFonts w:cstheme="minorHAnsi"/>
          <w:b/>
        </w:rPr>
        <w:t xml:space="preserve">od razu podejrzewać u siebie zakażenia koronawirusem.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r w:rsidRPr="00DC7ADF">
        <w:rPr>
          <w:rFonts w:cstheme="minorHAnsi"/>
          <w:b/>
        </w:rPr>
        <w:t xml:space="preserve"> </w:t>
      </w:r>
    </w:p>
    <w:p w:rsidR="00BD6A7A" w:rsidRDefault="00BD6A7A" w:rsidP="00C151BE">
      <w:pPr>
        <w:pStyle w:val="Akapitzlist"/>
        <w:spacing w:after="0" w:line="288" w:lineRule="auto"/>
        <w:jc w:val="both"/>
        <w:rPr>
          <w:rFonts w:cstheme="minorHAnsi"/>
        </w:rPr>
      </w:pPr>
      <w:r w:rsidRPr="00240D02">
        <w:rPr>
          <w:rFonts w:cstheme="minorHAnsi"/>
        </w:rPr>
        <w:t>Objawy ze strony układu oddechowego z towarzyszącą gorączką mogą mieć wiele przyczyn np. wirusową (wirusy grypy, adenowirusy, rynowirusy,  koronawirusy, wirusy paragrypy)</w:t>
      </w:r>
      <w:r w:rsidR="00DC7ADF">
        <w:rPr>
          <w:rFonts w:cstheme="minorHAnsi"/>
        </w:rPr>
        <w:t>,</w:t>
      </w:r>
      <w:r w:rsidRPr="00240D02">
        <w:rPr>
          <w:rFonts w:cstheme="minorHAnsi"/>
        </w:rPr>
        <w:t xml:space="preserve"> czy bakteryjną (pałeczka </w:t>
      </w:r>
      <w:r w:rsidRPr="00240D02">
        <w:rPr>
          <w:rFonts w:cstheme="minorHAnsi"/>
          <w:i/>
          <w:iCs/>
        </w:rPr>
        <w:t>Haemophilus influenzae</w:t>
      </w:r>
      <w:r w:rsidRPr="00240D02">
        <w:rPr>
          <w:rFonts w:cstheme="minorHAnsi"/>
        </w:rPr>
        <w:t xml:space="preserve">a, pałeczka krztuśca, chlamydia, mykoplazama). </w:t>
      </w:r>
    </w:p>
    <w:p w:rsidR="00BD3E59" w:rsidRPr="00240D02" w:rsidRDefault="00BD3E59" w:rsidP="00C151BE">
      <w:pPr>
        <w:pStyle w:val="Akapitzlist"/>
        <w:spacing w:after="0" w:line="288" w:lineRule="auto"/>
        <w:jc w:val="both"/>
        <w:rPr>
          <w:rFonts w:cstheme="minorHAnsi"/>
        </w:rPr>
      </w:pPr>
    </w:p>
    <w:p w:rsidR="00BD6A7A" w:rsidRDefault="00DC7ADF" w:rsidP="00C151BE">
      <w:pPr>
        <w:pStyle w:val="Akapitzlist"/>
        <w:numPr>
          <w:ilvl w:val="0"/>
          <w:numId w:val="21"/>
        </w:numPr>
        <w:spacing w:after="0" w:line="288" w:lineRule="auto"/>
        <w:jc w:val="both"/>
        <w:rPr>
          <w:rFonts w:cstheme="minorHAnsi"/>
        </w:rPr>
      </w:pPr>
      <w:r>
        <w:rPr>
          <w:rFonts w:cstheme="minorHAnsi"/>
          <w:b/>
        </w:rPr>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w których szerzy się koronawirus</w:t>
      </w:r>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r w:rsidR="00A224A7">
        <w:rPr>
          <w:rFonts w:cstheme="minorHAnsi"/>
          <w:bCs/>
        </w:rPr>
        <w:t>koronawirusem</w:t>
      </w:r>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pl-PL"/>
        </w:rPr>
        <w:drawing>
          <wp:inline distT="0" distB="0" distL="0" distR="0" wp14:anchorId="1C6D01EC" wp14:editId="1CEF7808">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03E" w:rsidRDefault="0051703E" w:rsidP="00935D52">
      <w:pPr>
        <w:spacing w:after="0" w:line="240" w:lineRule="auto"/>
      </w:pPr>
      <w:r>
        <w:separator/>
      </w:r>
    </w:p>
  </w:endnote>
  <w:endnote w:type="continuationSeparator" w:id="0">
    <w:p w:rsidR="0051703E" w:rsidRDefault="0051703E" w:rsidP="009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028228"/>
      <w:docPartObj>
        <w:docPartGallery w:val="Page Numbers (Bottom of Page)"/>
        <w:docPartUnique/>
      </w:docPartObj>
    </w:sdtPr>
    <w:sdtEndPr/>
    <w:sdtContent>
      <w:p w:rsidR="00C9562F" w:rsidRDefault="00C9562F">
        <w:pPr>
          <w:pStyle w:val="Stopka"/>
          <w:jc w:val="right"/>
        </w:pPr>
        <w:r>
          <w:fldChar w:fldCharType="begin"/>
        </w:r>
        <w:r>
          <w:instrText>PAGE   \* MERGEFORMAT</w:instrText>
        </w:r>
        <w:r>
          <w:fldChar w:fldCharType="separate"/>
        </w:r>
        <w:r w:rsidR="00C154D8">
          <w:rPr>
            <w:noProof/>
          </w:rPr>
          <w:t>4</w:t>
        </w:r>
        <w:r>
          <w:fldChar w:fldCharType="end"/>
        </w:r>
      </w:p>
    </w:sdtContent>
  </w:sdt>
  <w:p w:rsidR="00C9562F" w:rsidRDefault="00C956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03E" w:rsidRDefault="0051703E" w:rsidP="00935D52">
      <w:pPr>
        <w:spacing w:after="0" w:line="240" w:lineRule="auto"/>
      </w:pPr>
      <w:r>
        <w:separator/>
      </w:r>
    </w:p>
  </w:footnote>
  <w:footnote w:type="continuationSeparator" w:id="0">
    <w:p w:rsidR="0051703E" w:rsidRDefault="0051703E" w:rsidP="00935D52">
      <w:pPr>
        <w:spacing w:after="0" w:line="240" w:lineRule="auto"/>
      </w:pPr>
      <w:r>
        <w:continuationSeparator/>
      </w:r>
    </w:p>
  </w:footnote>
  <w:footnote w:id="1">
    <w:p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koronawirusem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dodatni wynik testu w kierunku obecności koronawirusów (pan-coronavirus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r w:rsidR="00FC17A5">
        <w:rPr>
          <w:lang w:val="pl-PL"/>
        </w:rPr>
        <w:t>koronawirusem</w:t>
      </w:r>
      <w:r w:rsidRPr="00C768AD">
        <w:rPr>
          <w:lang w:val="pl-P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34FD2EC9-4FFD-47B5-AC78-1D0E4BA5FC33}"/>
  </w:docVars>
  <w:rsids>
    <w:rsidRoot w:val="001360C2"/>
    <w:rsid w:val="000266DD"/>
    <w:rsid w:val="000548DB"/>
    <w:rsid w:val="000A6CCE"/>
    <w:rsid w:val="000D7681"/>
    <w:rsid w:val="000E18D6"/>
    <w:rsid w:val="000E4AF4"/>
    <w:rsid w:val="00102254"/>
    <w:rsid w:val="0012071F"/>
    <w:rsid w:val="001360C2"/>
    <w:rsid w:val="00185393"/>
    <w:rsid w:val="00185944"/>
    <w:rsid w:val="0019389F"/>
    <w:rsid w:val="001F5DFD"/>
    <w:rsid w:val="0020635B"/>
    <w:rsid w:val="00225DFC"/>
    <w:rsid w:val="00240D02"/>
    <w:rsid w:val="0026661D"/>
    <w:rsid w:val="00271D66"/>
    <w:rsid w:val="0027324A"/>
    <w:rsid w:val="002E121B"/>
    <w:rsid w:val="002E78E5"/>
    <w:rsid w:val="003342E9"/>
    <w:rsid w:val="00360D56"/>
    <w:rsid w:val="003A756C"/>
    <w:rsid w:val="003B3259"/>
    <w:rsid w:val="003C1F3E"/>
    <w:rsid w:val="003F63A3"/>
    <w:rsid w:val="00446085"/>
    <w:rsid w:val="004542BA"/>
    <w:rsid w:val="0047239A"/>
    <w:rsid w:val="0051703E"/>
    <w:rsid w:val="00545BB0"/>
    <w:rsid w:val="005C4369"/>
    <w:rsid w:val="005C4A35"/>
    <w:rsid w:val="006279F7"/>
    <w:rsid w:val="006857D5"/>
    <w:rsid w:val="00692B17"/>
    <w:rsid w:val="006F5ECF"/>
    <w:rsid w:val="006F6319"/>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35D52"/>
    <w:rsid w:val="0095164F"/>
    <w:rsid w:val="0098457D"/>
    <w:rsid w:val="009E2185"/>
    <w:rsid w:val="009F5BDC"/>
    <w:rsid w:val="00A224A7"/>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154D8"/>
    <w:rsid w:val="00C9562F"/>
    <w:rsid w:val="00CB0134"/>
    <w:rsid w:val="00D22A4C"/>
    <w:rsid w:val="00D4173F"/>
    <w:rsid w:val="00D731DC"/>
    <w:rsid w:val="00D84974"/>
    <w:rsid w:val="00DC7ADF"/>
    <w:rsid w:val="00DD0067"/>
    <w:rsid w:val="00DD1A9F"/>
    <w:rsid w:val="00E15BC7"/>
    <w:rsid w:val="00E46C8F"/>
    <w:rsid w:val="00E851FA"/>
    <w:rsid w:val="00ED4277"/>
    <w:rsid w:val="00F23468"/>
    <w:rsid w:val="00F23B07"/>
    <w:rsid w:val="00F33E57"/>
    <w:rsid w:val="00FC1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559A1-3DDB-4FA9-B1A8-1263C4DD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is.gov.pl/aktualnosci/komunikat-krajowego-konsultanta-w-dziedzinie-chorych-zakazny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pl/web/zdrowie/byles-w-chinach-i-zle-sie-czujesz-sprawdz-co-robic" TargetMode="External"/><Relationship Id="rId4" Type="http://schemas.openxmlformats.org/officeDocument/2006/relationships/styles" Target="styles.xml"/><Relationship Id="rId9" Type="http://schemas.openxmlformats.org/officeDocument/2006/relationships/hyperlink" Target="https://gis.gov.pl/mapa/"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D2EC9-4FFD-47B5-AC78-1D0E4BA5FC33}">
  <ds:schemaRefs>
    <ds:schemaRef ds:uri="http://www.w3.org/2001/XMLSchema"/>
  </ds:schemaRefs>
</ds:datastoreItem>
</file>

<file path=customXml/itemProps2.xml><?xml version="1.0" encoding="utf-8"?>
<ds:datastoreItem xmlns:ds="http://schemas.openxmlformats.org/officeDocument/2006/customXml" ds:itemID="{E946C9ED-807C-4A77-BE8A-CE5EF74B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1849</Words>
  <Characters>11095</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Mazurek Magda</dc:creator>
  <cp:keywords/>
  <dc:description/>
  <cp:lastModifiedBy>Witold Paczosa</cp:lastModifiedBy>
  <cp:revision>2</cp:revision>
  <cp:lastPrinted>2020-02-26T16:54:00Z</cp:lastPrinted>
  <dcterms:created xsi:type="dcterms:W3CDTF">2020-02-28T08:47:00Z</dcterms:created>
  <dcterms:modified xsi:type="dcterms:W3CDTF">2020-02-28T08:47:00Z</dcterms:modified>
</cp:coreProperties>
</file>