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5DD2" w14:textId="77777777" w:rsidR="00EA146C" w:rsidRDefault="00EA146C">
      <w:pPr>
        <w:rPr>
          <w:rFonts w:ascii="Arial" w:hAnsi="Arial" w:cs="Arial"/>
        </w:rPr>
      </w:pPr>
    </w:p>
    <w:p w14:paraId="4E612325" w14:textId="77777777" w:rsidR="00EA146C" w:rsidRPr="00DB4756" w:rsidRDefault="00EA146C">
      <w:pPr>
        <w:spacing w:before="120" w:after="120"/>
        <w:jc w:val="center"/>
        <w:rPr>
          <w:rFonts w:ascii="Arial" w:hAnsi="Arial" w:cs="Arial"/>
          <w:b/>
          <w:color w:val="000000"/>
        </w:rPr>
      </w:pPr>
      <w:r w:rsidRPr="00DB4756">
        <w:rPr>
          <w:rFonts w:ascii="Arial" w:hAnsi="Arial" w:cs="Arial"/>
          <w:b/>
          <w:color w:val="000000"/>
        </w:rPr>
        <w:t xml:space="preserve">INFORMACJA DOTYCZĄCA OPŁATY EKSPLOATACYJNEJ </w:t>
      </w:r>
    </w:p>
    <w:p w14:paraId="7F8E24D2" w14:textId="77777777" w:rsidR="00EA146C" w:rsidRPr="00DB4756" w:rsidRDefault="00EA146C">
      <w:pPr>
        <w:spacing w:before="120" w:after="120"/>
        <w:jc w:val="center"/>
        <w:rPr>
          <w:rFonts w:ascii="Arial" w:hAnsi="Arial" w:cs="Arial"/>
          <w:b/>
          <w:color w:val="000000"/>
        </w:rPr>
      </w:pPr>
      <w:r w:rsidRPr="00DB4756">
        <w:rPr>
          <w:rFonts w:ascii="Arial" w:hAnsi="Arial" w:cs="Arial"/>
          <w:b/>
          <w:color w:val="000000"/>
        </w:rPr>
        <w:t>ZA WYDOBYTĄ KOPALINĘ</w:t>
      </w:r>
    </w:p>
    <w:p w14:paraId="0B277917" w14:textId="77777777" w:rsidR="00EA146C" w:rsidRPr="00DB4756" w:rsidRDefault="00EA146C" w:rsidP="00DB4756">
      <w:pPr>
        <w:jc w:val="center"/>
        <w:rPr>
          <w:rFonts w:ascii="Arial" w:hAnsi="Arial" w:cs="Arial"/>
          <w:b/>
          <w:color w:val="000000"/>
        </w:rPr>
      </w:pPr>
    </w:p>
    <w:p w14:paraId="045D10F2" w14:textId="77777777" w:rsidR="00EA146C" w:rsidRPr="00DB4756" w:rsidRDefault="00EA146C" w:rsidP="00DB4756">
      <w:pPr>
        <w:jc w:val="both"/>
        <w:rPr>
          <w:rFonts w:ascii="Arial" w:hAnsi="Arial" w:cs="Arial"/>
        </w:rPr>
      </w:pPr>
      <w:r w:rsidRPr="00DB4756">
        <w:rPr>
          <w:rFonts w:ascii="Arial" w:hAnsi="Arial" w:cs="Arial"/>
          <w:b/>
          <w:color w:val="000000"/>
        </w:rPr>
        <w:t>PODSTAWA PRAWNA:</w:t>
      </w:r>
    </w:p>
    <w:p w14:paraId="015FC020" w14:textId="77777777" w:rsidR="00EA146C" w:rsidRPr="00DB4756" w:rsidRDefault="00EA146C" w:rsidP="00DB4756">
      <w:pPr>
        <w:pStyle w:val="NormalnyWeb"/>
        <w:numPr>
          <w:ilvl w:val="0"/>
          <w:numId w:val="2"/>
        </w:numPr>
        <w:tabs>
          <w:tab w:val="left" w:pos="360"/>
        </w:tabs>
        <w:snapToGrid w:val="0"/>
        <w:spacing w:before="0" w:after="0"/>
        <w:ind w:left="360"/>
        <w:jc w:val="both"/>
        <w:rPr>
          <w:rFonts w:ascii="Arial" w:hAnsi="Arial" w:cs="Arial"/>
          <w:szCs w:val="24"/>
        </w:rPr>
      </w:pPr>
      <w:r w:rsidRPr="00DB4756">
        <w:rPr>
          <w:rFonts w:ascii="Arial" w:hAnsi="Arial" w:cs="Arial"/>
          <w:szCs w:val="24"/>
        </w:rPr>
        <w:t>art. 137 ust. 3 ustawy z dnia 9 czerwca 2011 r. Prawo geologicz</w:t>
      </w:r>
      <w:r w:rsidR="00892F19">
        <w:rPr>
          <w:rFonts w:ascii="Arial" w:hAnsi="Arial" w:cs="Arial"/>
          <w:szCs w:val="24"/>
        </w:rPr>
        <w:t xml:space="preserve">ne i górnicze </w:t>
      </w:r>
      <w:proofErr w:type="gramStart"/>
      <w:r w:rsidR="00892F19">
        <w:rPr>
          <w:rFonts w:ascii="Arial" w:hAnsi="Arial" w:cs="Arial"/>
          <w:szCs w:val="24"/>
        </w:rPr>
        <w:t xml:space="preserve">   (</w:t>
      </w:r>
      <w:proofErr w:type="gramEnd"/>
      <w:r w:rsidR="00892F19">
        <w:rPr>
          <w:rFonts w:ascii="Arial" w:hAnsi="Arial" w:cs="Arial"/>
          <w:szCs w:val="24"/>
        </w:rPr>
        <w:t xml:space="preserve">Dz. U.  z 2022 </w:t>
      </w:r>
      <w:proofErr w:type="gramStart"/>
      <w:r w:rsidR="00892F19">
        <w:rPr>
          <w:rFonts w:ascii="Arial" w:hAnsi="Arial" w:cs="Arial"/>
          <w:szCs w:val="24"/>
        </w:rPr>
        <w:t>r .</w:t>
      </w:r>
      <w:proofErr w:type="gramEnd"/>
      <w:r w:rsidR="00892F19">
        <w:rPr>
          <w:rFonts w:ascii="Arial" w:hAnsi="Arial" w:cs="Arial"/>
          <w:szCs w:val="24"/>
        </w:rPr>
        <w:t xml:space="preserve"> poz. 1072</w:t>
      </w:r>
      <w:r w:rsidRPr="00DB4756">
        <w:rPr>
          <w:rFonts w:ascii="Arial" w:hAnsi="Arial" w:cs="Arial"/>
          <w:color w:val="auto"/>
          <w:szCs w:val="24"/>
        </w:rPr>
        <w:t>);</w:t>
      </w:r>
    </w:p>
    <w:p w14:paraId="515A458B" w14:textId="77777777" w:rsidR="00EA146C" w:rsidRPr="00892F19" w:rsidRDefault="00EA146C" w:rsidP="00DB4756">
      <w:pPr>
        <w:pStyle w:val="NormalnyWeb"/>
        <w:numPr>
          <w:ilvl w:val="0"/>
          <w:numId w:val="2"/>
        </w:numPr>
        <w:tabs>
          <w:tab w:val="left" w:pos="360"/>
        </w:tabs>
        <w:snapToGrid w:val="0"/>
        <w:spacing w:before="0" w:after="0"/>
        <w:ind w:left="340" w:hanging="340"/>
        <w:jc w:val="both"/>
        <w:rPr>
          <w:rFonts w:ascii="Arial" w:hAnsi="Arial" w:cs="Arial"/>
          <w:szCs w:val="24"/>
        </w:rPr>
      </w:pPr>
      <w:r w:rsidRPr="00DB4756">
        <w:rPr>
          <w:rFonts w:ascii="Arial" w:hAnsi="Arial" w:cs="Arial"/>
          <w:szCs w:val="24"/>
        </w:rPr>
        <w:t>Rozporządzenie Ministra Środowiska z dnia 25 lutego 2015 r. w sprawie wzorów druków informacji dotyczącej opłat z zakresu przepisów Prawa geologicznego     górniczego (Dz. U. z 2015 r. poz. 406</w:t>
      </w:r>
      <w:proofErr w:type="gramStart"/>
      <w:r w:rsidRPr="00DB4756">
        <w:rPr>
          <w:rFonts w:ascii="Arial" w:hAnsi="Arial" w:cs="Arial"/>
          <w:szCs w:val="24"/>
        </w:rPr>
        <w:t>)  oraz</w:t>
      </w:r>
      <w:proofErr w:type="gramEnd"/>
      <w:r w:rsidRPr="00DB4756">
        <w:rPr>
          <w:rFonts w:ascii="Arial" w:hAnsi="Arial" w:cs="Arial"/>
          <w:szCs w:val="24"/>
        </w:rPr>
        <w:t xml:space="preserve"> Rozporządzenie Ministra Środowiska z dnia 26 czerwca 2019 r. zmieniające rozporządzenie w sprawie wzorów druków </w:t>
      </w:r>
      <w:r w:rsidRPr="00892F19">
        <w:rPr>
          <w:rFonts w:ascii="Arial" w:hAnsi="Arial" w:cs="Arial"/>
          <w:szCs w:val="24"/>
        </w:rPr>
        <w:t xml:space="preserve">informacji dotyczących opłat z zakresu przepisów Prawa geologicznego                  i górniczego (D. U. z 2019 r. poz. 1202),  </w:t>
      </w:r>
    </w:p>
    <w:p w14:paraId="0F2ACF00" w14:textId="77777777" w:rsidR="00EA146C" w:rsidRPr="00892F19" w:rsidRDefault="00EA146C" w:rsidP="00892F19">
      <w:pPr>
        <w:pStyle w:val="Tekstpodstawowy"/>
        <w:numPr>
          <w:ilvl w:val="0"/>
          <w:numId w:val="2"/>
        </w:numPr>
        <w:tabs>
          <w:tab w:val="left" w:pos="360"/>
        </w:tabs>
        <w:snapToGrid w:val="0"/>
        <w:spacing w:after="0" w:line="240" w:lineRule="auto"/>
        <w:ind w:left="340" w:hanging="340"/>
        <w:jc w:val="both"/>
        <w:rPr>
          <w:rFonts w:ascii="Arial" w:hAnsi="Arial" w:cs="Arial"/>
          <w:b/>
          <w:i/>
          <w:color w:val="000000"/>
        </w:rPr>
      </w:pPr>
      <w:r w:rsidRPr="00892F19">
        <w:rPr>
          <w:rFonts w:ascii="Arial" w:hAnsi="Arial" w:cs="Arial"/>
          <w:color w:val="000000"/>
        </w:rPr>
        <w:t xml:space="preserve">Obwieszczenie Ministra </w:t>
      </w:r>
      <w:r w:rsidR="00892F19" w:rsidRPr="00892F19">
        <w:rPr>
          <w:rFonts w:ascii="Arial" w:hAnsi="Arial" w:cs="Arial"/>
        </w:rPr>
        <w:t xml:space="preserve">Klimatu i Środowiska z dnia 17 maja 2021 r. w </w:t>
      </w:r>
      <w:r w:rsidR="00892F19" w:rsidRPr="00892F19">
        <w:rPr>
          <w:rStyle w:val="Uwydatnienie"/>
          <w:rFonts w:ascii="Arial" w:hAnsi="Arial" w:cs="Arial"/>
        </w:rPr>
        <w:t>s</w:t>
      </w:r>
      <w:r w:rsidR="00892F19" w:rsidRPr="00892F19">
        <w:rPr>
          <w:rStyle w:val="Uwydatnienie"/>
          <w:rFonts w:ascii="Arial" w:hAnsi="Arial" w:cs="Arial"/>
          <w:i w:val="0"/>
        </w:rPr>
        <w:t>prawie stawek opłat</w:t>
      </w:r>
      <w:r w:rsidR="00892F19" w:rsidRPr="00892F19">
        <w:rPr>
          <w:rFonts w:ascii="Arial" w:hAnsi="Arial" w:cs="Arial"/>
          <w:i/>
        </w:rPr>
        <w:t xml:space="preserve"> </w:t>
      </w:r>
      <w:r w:rsidR="00892F19" w:rsidRPr="00892F19">
        <w:rPr>
          <w:rFonts w:ascii="Arial" w:hAnsi="Arial" w:cs="Arial"/>
        </w:rPr>
        <w:t>na</w:t>
      </w:r>
      <w:r w:rsidR="00892F19" w:rsidRPr="00892F19">
        <w:rPr>
          <w:rFonts w:ascii="Arial" w:hAnsi="Arial" w:cs="Arial"/>
          <w:i/>
        </w:rPr>
        <w:t xml:space="preserve"> </w:t>
      </w:r>
      <w:r w:rsidR="00892F19" w:rsidRPr="00892F19">
        <w:rPr>
          <w:rStyle w:val="Uwydatnienie"/>
          <w:rFonts w:ascii="Arial" w:hAnsi="Arial" w:cs="Arial"/>
          <w:i w:val="0"/>
        </w:rPr>
        <w:t>rok 2022</w:t>
      </w:r>
      <w:r w:rsidR="00892F19" w:rsidRPr="00892F19">
        <w:rPr>
          <w:rFonts w:ascii="Arial" w:hAnsi="Arial" w:cs="Arial"/>
          <w:i/>
        </w:rPr>
        <w:t xml:space="preserve"> z </w:t>
      </w:r>
      <w:r w:rsidR="00892F19" w:rsidRPr="00892F19">
        <w:rPr>
          <w:rStyle w:val="Uwydatnienie"/>
          <w:rFonts w:ascii="Arial" w:hAnsi="Arial" w:cs="Arial"/>
          <w:i w:val="0"/>
        </w:rPr>
        <w:t>zakresu przepisów Prawa geologicznego</w:t>
      </w:r>
      <w:r w:rsidR="00892F19" w:rsidRPr="00892F19">
        <w:rPr>
          <w:rFonts w:ascii="Arial" w:hAnsi="Arial" w:cs="Arial"/>
        </w:rPr>
        <w:t xml:space="preserve"> i</w:t>
      </w:r>
      <w:r w:rsidR="00892F19" w:rsidRPr="00892F19">
        <w:rPr>
          <w:rFonts w:ascii="Arial" w:hAnsi="Arial" w:cs="Arial"/>
          <w:i/>
        </w:rPr>
        <w:t xml:space="preserve"> </w:t>
      </w:r>
      <w:r w:rsidR="00892F19" w:rsidRPr="00892F19">
        <w:rPr>
          <w:rStyle w:val="Uwydatnienie"/>
          <w:rFonts w:ascii="Arial" w:hAnsi="Arial" w:cs="Arial"/>
          <w:i w:val="0"/>
        </w:rPr>
        <w:t>górniczego</w:t>
      </w:r>
      <w:r w:rsidR="00DB4756" w:rsidRPr="00892F19">
        <w:rPr>
          <w:rFonts w:ascii="Arial" w:hAnsi="Arial" w:cs="Arial"/>
          <w:color w:val="000000"/>
        </w:rPr>
        <w:t xml:space="preserve"> (M. P.  </w:t>
      </w:r>
      <w:proofErr w:type="gramStart"/>
      <w:r w:rsidR="00892F19" w:rsidRPr="00892F19">
        <w:rPr>
          <w:rFonts w:ascii="Arial" w:hAnsi="Arial" w:cs="Arial"/>
          <w:color w:val="000000"/>
        </w:rPr>
        <w:t>z  2021</w:t>
      </w:r>
      <w:proofErr w:type="gramEnd"/>
      <w:r w:rsidR="00892F19" w:rsidRPr="00892F19">
        <w:rPr>
          <w:rFonts w:ascii="Arial" w:hAnsi="Arial" w:cs="Arial"/>
          <w:color w:val="000000"/>
        </w:rPr>
        <w:t xml:space="preserve"> r. poz. .482</w:t>
      </w:r>
      <w:r w:rsidRPr="00892F19">
        <w:rPr>
          <w:rFonts w:ascii="Arial" w:hAnsi="Arial" w:cs="Arial"/>
          <w:color w:val="000000"/>
        </w:rPr>
        <w:t xml:space="preserve">) </w:t>
      </w:r>
    </w:p>
    <w:p w14:paraId="7853E859" w14:textId="77777777" w:rsidR="00DB4756" w:rsidRPr="00DB4756" w:rsidRDefault="00EA146C" w:rsidP="00DB4756">
      <w:pPr>
        <w:tabs>
          <w:tab w:val="left" w:pos="360"/>
        </w:tabs>
        <w:snapToGrid w:val="0"/>
        <w:spacing w:line="288" w:lineRule="auto"/>
        <w:jc w:val="both"/>
        <w:rPr>
          <w:rFonts w:ascii="Arial" w:hAnsi="Arial" w:cs="Arial"/>
          <w:b/>
          <w:color w:val="000000"/>
        </w:rPr>
      </w:pPr>
      <w:r w:rsidRPr="00DB4756">
        <w:rPr>
          <w:rFonts w:ascii="Arial" w:hAnsi="Arial" w:cs="Arial"/>
          <w:b/>
          <w:color w:val="000000"/>
        </w:rPr>
        <w:t xml:space="preserve">WYKAZ POTRZEBNYCH </w:t>
      </w:r>
      <w:proofErr w:type="gramStart"/>
      <w:r w:rsidRPr="00DB4756">
        <w:rPr>
          <w:rFonts w:ascii="Arial" w:hAnsi="Arial" w:cs="Arial"/>
          <w:b/>
          <w:color w:val="000000"/>
        </w:rPr>
        <w:t xml:space="preserve">DOKUMENTÓW  </w:t>
      </w:r>
      <w:r w:rsidRPr="00DB4756">
        <w:rPr>
          <w:rFonts w:ascii="Arial" w:hAnsi="Arial" w:cs="Arial"/>
          <w:b/>
          <w:color w:val="FF6600"/>
          <w:sz w:val="32"/>
          <w:szCs w:val="32"/>
        </w:rPr>
        <w:t>*</w:t>
      </w:r>
      <w:proofErr w:type="gramEnd"/>
      <w:r w:rsidRPr="00DB4756">
        <w:rPr>
          <w:rFonts w:ascii="Arial" w:hAnsi="Arial" w:cs="Arial"/>
          <w:b/>
          <w:color w:val="000000"/>
        </w:rPr>
        <w:t>:</w:t>
      </w:r>
    </w:p>
    <w:p w14:paraId="460584C2" w14:textId="77777777" w:rsidR="00EA146C" w:rsidRPr="00DB4756" w:rsidRDefault="00EA146C" w:rsidP="00DB4756">
      <w:pPr>
        <w:tabs>
          <w:tab w:val="left" w:pos="360"/>
        </w:tabs>
        <w:snapToGrid w:val="0"/>
        <w:spacing w:line="288" w:lineRule="auto"/>
        <w:ind w:left="284"/>
        <w:jc w:val="both"/>
        <w:rPr>
          <w:rFonts w:ascii="Arial" w:hAnsi="Arial" w:cs="Arial"/>
          <w:color w:val="000000"/>
        </w:rPr>
      </w:pPr>
      <w:r w:rsidRPr="00DB4756">
        <w:rPr>
          <w:rFonts w:ascii="Arial" w:hAnsi="Arial" w:cs="Arial"/>
          <w:color w:val="000000"/>
        </w:rPr>
        <w:t>informacja dotycząca opłaty za wydobytą kopalinę, zawierająca dane identyfikujące przedsiębiorcę, nazwę złoża, numer koncesji na wydobywanie kopaliny z tego złoża, rodzaj i ilość kopaliny wydobytej w okresie rozliczeniowym, przyjętą stawkę oraz wysokość ustalonej opłaty, w tym przypadającej gminie, na terenie której jest prowadzona działalność, oraz Narodowemu Funduszowi Ochrony Środowiska i Gospodarki Wodnej. kopie dowodów wpłat wniesionych na rzecz podmiotów określonych w art. 141 ust. 1 ustawy Prawo geologiczne              i górnicze</w:t>
      </w:r>
    </w:p>
    <w:p w14:paraId="5CC2EC01" w14:textId="77777777" w:rsidR="00EA146C" w:rsidRPr="00DB4756" w:rsidRDefault="00EA146C" w:rsidP="00DB4756">
      <w:pPr>
        <w:pStyle w:val="Tekstpodstawowy"/>
        <w:spacing w:after="0"/>
        <w:rPr>
          <w:rFonts w:ascii="Arial" w:hAnsi="Arial" w:cs="Arial"/>
          <w:color w:val="000000"/>
        </w:rPr>
      </w:pPr>
      <w:r w:rsidRPr="00DB4756">
        <w:rPr>
          <w:rFonts w:ascii="Arial" w:hAnsi="Arial" w:cs="Arial"/>
          <w:b/>
          <w:color w:val="2A2A2A"/>
        </w:rPr>
        <w:t>MIEJSCE ZŁOŻENIA DOKUMENTÓW</w:t>
      </w:r>
    </w:p>
    <w:p w14:paraId="3CE4C0EC" w14:textId="77777777" w:rsidR="00EA146C" w:rsidRPr="00DB4756" w:rsidRDefault="00EA146C" w:rsidP="00DB4756">
      <w:pPr>
        <w:pStyle w:val="Tekstpodstawowy"/>
        <w:tabs>
          <w:tab w:val="left" w:pos="360"/>
        </w:tabs>
        <w:snapToGrid w:val="0"/>
        <w:spacing w:after="0"/>
        <w:ind w:left="360"/>
        <w:jc w:val="both"/>
        <w:rPr>
          <w:rFonts w:ascii="Arial" w:hAnsi="Arial" w:cs="Arial"/>
          <w:b/>
          <w:bCs/>
          <w:color w:val="000000"/>
        </w:rPr>
      </w:pPr>
      <w:r w:rsidRPr="00DB4756">
        <w:rPr>
          <w:rFonts w:ascii="Arial" w:hAnsi="Arial" w:cs="Arial"/>
          <w:color w:val="000000"/>
        </w:rPr>
        <w:t>Starostwo Powiato</w:t>
      </w:r>
      <w:r w:rsidR="00590B10">
        <w:rPr>
          <w:rFonts w:ascii="Arial" w:hAnsi="Arial" w:cs="Arial"/>
          <w:color w:val="000000"/>
        </w:rPr>
        <w:t xml:space="preserve">we we </w:t>
      </w:r>
      <w:r w:rsidR="006E3130">
        <w:rPr>
          <w:rFonts w:ascii="Arial" w:hAnsi="Arial" w:cs="Arial"/>
          <w:color w:val="000000"/>
        </w:rPr>
        <w:t>Wołowie</w:t>
      </w:r>
      <w:r w:rsidR="00EB3C8A">
        <w:rPr>
          <w:rFonts w:ascii="Arial" w:hAnsi="Arial" w:cs="Arial"/>
          <w:color w:val="000000"/>
        </w:rPr>
        <w:t>,</w:t>
      </w:r>
      <w:r w:rsidR="006E3130">
        <w:rPr>
          <w:rFonts w:ascii="Arial" w:hAnsi="Arial" w:cs="Arial"/>
          <w:color w:val="000000"/>
        </w:rPr>
        <w:t xml:space="preserve"> Plac Piastowski 2</w:t>
      </w:r>
      <w:r w:rsidR="00EB3C8A">
        <w:rPr>
          <w:rFonts w:ascii="Arial" w:hAnsi="Arial" w:cs="Arial"/>
          <w:color w:val="000000"/>
        </w:rPr>
        <w:t>,</w:t>
      </w:r>
      <w:r w:rsidR="006E3130">
        <w:rPr>
          <w:rFonts w:ascii="Arial" w:hAnsi="Arial" w:cs="Arial"/>
          <w:color w:val="000000"/>
        </w:rPr>
        <w:t xml:space="preserve"> 56-100 Wołów</w:t>
      </w:r>
      <w:r w:rsidRPr="00DB4756">
        <w:rPr>
          <w:rFonts w:ascii="Arial" w:hAnsi="Arial" w:cs="Arial"/>
          <w:color w:val="000000"/>
        </w:rPr>
        <w:t xml:space="preserve"> </w:t>
      </w:r>
      <w:r w:rsidR="00AB1949">
        <w:rPr>
          <w:rFonts w:ascii="Arial" w:hAnsi="Arial" w:cs="Arial"/>
          <w:color w:val="000000"/>
        </w:rPr>
        <w:t xml:space="preserve">pok. 5 lub </w:t>
      </w:r>
      <w:r w:rsidR="00AB1949">
        <w:rPr>
          <w:rFonts w:ascii="Arial" w:hAnsi="Arial" w:cs="Arial"/>
        </w:rPr>
        <w:t xml:space="preserve">poprzez </w:t>
      </w:r>
      <w:r w:rsidR="00AB1949">
        <w:rPr>
          <w:rFonts w:ascii="Arial" w:hAnsi="Arial" w:cs="Arial"/>
          <w:color w:val="444444"/>
          <w:shd w:val="clear" w:color="auto" w:fill="F6F6F6"/>
        </w:rPr>
        <w:t>skrytkę ePUAP: </w:t>
      </w:r>
      <w:r w:rsidR="00AB1949">
        <w:rPr>
          <w:rStyle w:val="addr-name-output"/>
          <w:rFonts w:ascii="Arial" w:hAnsi="Arial" w:cs="Arial"/>
          <w:color w:val="444444"/>
          <w:bdr w:val="none" w:sz="0" w:space="0" w:color="auto" w:frame="1"/>
          <w:shd w:val="clear" w:color="auto" w:fill="F6F6F6"/>
        </w:rPr>
        <w:t xml:space="preserve">/7u272ofvrz/SkrytkaESP </w:t>
      </w:r>
      <w:r w:rsidRPr="00DB4756">
        <w:rPr>
          <w:rFonts w:ascii="Arial" w:hAnsi="Arial" w:cs="Arial"/>
          <w:color w:val="000000"/>
        </w:rPr>
        <w:t xml:space="preserve">wraz z kopiami </w:t>
      </w:r>
      <w:r w:rsidR="00DB4756" w:rsidRPr="00DB4756">
        <w:rPr>
          <w:rFonts w:ascii="Arial" w:hAnsi="Arial" w:cs="Arial"/>
          <w:color w:val="000000"/>
        </w:rPr>
        <w:t>potwierdzającymi</w:t>
      </w:r>
      <w:r w:rsidRPr="00DB4756">
        <w:rPr>
          <w:rFonts w:ascii="Arial" w:hAnsi="Arial" w:cs="Arial"/>
          <w:color w:val="000000"/>
        </w:rPr>
        <w:t xml:space="preserve"> wniesienie opłat, dodatkowo tą sama informację należy przekazać </w:t>
      </w:r>
      <w:r w:rsidR="00DB4756" w:rsidRPr="00DB4756">
        <w:rPr>
          <w:rFonts w:ascii="Arial" w:hAnsi="Arial" w:cs="Arial"/>
          <w:color w:val="000000"/>
        </w:rPr>
        <w:t>odpowiedniemu</w:t>
      </w:r>
      <w:r w:rsidRPr="00DB4756">
        <w:rPr>
          <w:rFonts w:ascii="Arial" w:hAnsi="Arial" w:cs="Arial"/>
          <w:color w:val="000000"/>
        </w:rPr>
        <w:t xml:space="preserve"> wójtowi, burmistrzowi oraz Narodowemu Funduszowi Ochrony środowiska i Gospodarki Wodnej.</w:t>
      </w:r>
    </w:p>
    <w:p w14:paraId="2ECA006B" w14:textId="77777777" w:rsidR="00EA146C" w:rsidRPr="00DB4756" w:rsidRDefault="00EA146C" w:rsidP="00DB4756">
      <w:pPr>
        <w:tabs>
          <w:tab w:val="left" w:pos="360"/>
        </w:tabs>
        <w:snapToGrid w:val="0"/>
        <w:spacing w:line="288" w:lineRule="auto"/>
        <w:ind w:left="360" w:hanging="360"/>
        <w:jc w:val="both"/>
        <w:rPr>
          <w:rFonts w:ascii="Arial" w:hAnsi="Arial" w:cs="Arial"/>
          <w:color w:val="000000"/>
        </w:rPr>
      </w:pPr>
      <w:proofErr w:type="gramStart"/>
      <w:r w:rsidRPr="00DB4756">
        <w:rPr>
          <w:rFonts w:ascii="Arial" w:hAnsi="Arial" w:cs="Arial"/>
          <w:b/>
          <w:bCs/>
          <w:color w:val="000000"/>
        </w:rPr>
        <w:t>WYSOKOŚĆ  OPŁAT</w:t>
      </w:r>
      <w:proofErr w:type="gramEnd"/>
      <w:r w:rsidRPr="00DB4756">
        <w:rPr>
          <w:rFonts w:ascii="Arial" w:hAnsi="Arial" w:cs="Arial"/>
          <w:b/>
          <w:bCs/>
          <w:color w:val="000000"/>
        </w:rPr>
        <w:t xml:space="preserve">  SKARBOWYCH:</w:t>
      </w:r>
    </w:p>
    <w:p w14:paraId="167EC4D1" w14:textId="77777777" w:rsidR="00EA146C" w:rsidRPr="00DB4756" w:rsidRDefault="00EA146C" w:rsidP="00DB4756">
      <w:pPr>
        <w:tabs>
          <w:tab w:val="left" w:pos="360"/>
        </w:tabs>
        <w:snapToGrid w:val="0"/>
        <w:spacing w:line="288" w:lineRule="auto"/>
        <w:ind w:left="378"/>
        <w:jc w:val="both"/>
        <w:rPr>
          <w:rFonts w:ascii="Arial" w:hAnsi="Arial" w:cs="Arial"/>
          <w:b/>
          <w:bCs/>
          <w:color w:val="000000"/>
        </w:rPr>
      </w:pPr>
      <w:r w:rsidRPr="00DB4756">
        <w:rPr>
          <w:rFonts w:ascii="Arial" w:hAnsi="Arial" w:cs="Arial"/>
          <w:color w:val="000000"/>
        </w:rPr>
        <w:t xml:space="preserve">nie podlega opłacie skarbowej, w przypadku składania informacji przez </w:t>
      </w:r>
      <w:proofErr w:type="gramStart"/>
      <w:r w:rsidRPr="00DB4756">
        <w:rPr>
          <w:rFonts w:ascii="Arial" w:hAnsi="Arial" w:cs="Arial"/>
          <w:color w:val="000000"/>
        </w:rPr>
        <w:t>Pełnomocnika  1</w:t>
      </w:r>
      <w:r w:rsidRPr="00DB4756">
        <w:rPr>
          <w:rFonts w:ascii="Arial" w:hAnsi="Arial" w:cs="Arial"/>
          <w:b/>
          <w:color w:val="2A2A2A"/>
        </w:rPr>
        <w:t>7</w:t>
      </w:r>
      <w:proofErr w:type="gramEnd"/>
      <w:r w:rsidRPr="00DB4756">
        <w:rPr>
          <w:rFonts w:ascii="Arial" w:hAnsi="Arial" w:cs="Arial"/>
          <w:b/>
          <w:color w:val="2A2A2A"/>
        </w:rPr>
        <w:t xml:space="preserve"> </w:t>
      </w:r>
      <w:r w:rsidRPr="00DB4756">
        <w:rPr>
          <w:rFonts w:ascii="Arial" w:hAnsi="Arial" w:cs="Arial"/>
          <w:color w:val="2A2A2A"/>
        </w:rPr>
        <w:t xml:space="preserve">zł za dokument stwierdzający udzielenie pełnomocnictwa. </w:t>
      </w:r>
    </w:p>
    <w:p w14:paraId="18514565" w14:textId="77777777" w:rsidR="00EA146C" w:rsidRPr="00DB4756" w:rsidRDefault="00EA146C" w:rsidP="00DB4756">
      <w:pPr>
        <w:tabs>
          <w:tab w:val="left" w:pos="360"/>
        </w:tabs>
        <w:snapToGrid w:val="0"/>
        <w:spacing w:line="288" w:lineRule="auto"/>
        <w:ind w:left="360" w:hanging="360"/>
        <w:jc w:val="both"/>
        <w:rPr>
          <w:rFonts w:ascii="Arial" w:hAnsi="Arial" w:cs="Arial"/>
          <w:color w:val="000000"/>
        </w:rPr>
      </w:pPr>
      <w:r w:rsidRPr="00DB4756">
        <w:rPr>
          <w:rFonts w:ascii="Arial" w:hAnsi="Arial" w:cs="Arial"/>
          <w:b/>
          <w:bCs/>
          <w:color w:val="000000"/>
        </w:rPr>
        <w:t>OKREŚLENIE CZASU REALIZACJI:</w:t>
      </w:r>
    </w:p>
    <w:p w14:paraId="00DFE167" w14:textId="77777777" w:rsidR="00EA146C" w:rsidRPr="00DB4756" w:rsidRDefault="00EA146C" w:rsidP="00DB4756">
      <w:pPr>
        <w:tabs>
          <w:tab w:val="left" w:pos="360"/>
        </w:tabs>
        <w:snapToGrid w:val="0"/>
        <w:spacing w:line="288" w:lineRule="auto"/>
        <w:ind w:left="360" w:hanging="15"/>
        <w:jc w:val="both"/>
        <w:rPr>
          <w:rFonts w:ascii="Arial" w:hAnsi="Arial" w:cs="Arial"/>
          <w:b/>
          <w:bCs/>
          <w:color w:val="000000"/>
        </w:rPr>
      </w:pPr>
      <w:r w:rsidRPr="00DB4756">
        <w:rPr>
          <w:rFonts w:ascii="Arial" w:hAnsi="Arial" w:cs="Arial"/>
          <w:color w:val="000000"/>
        </w:rPr>
        <w:t xml:space="preserve">Przed upływem miesiąca następującego po okresie rozliczeniowym (okresem </w:t>
      </w:r>
      <w:proofErr w:type="gramStart"/>
      <w:r w:rsidRPr="00DB4756">
        <w:rPr>
          <w:rFonts w:ascii="Arial" w:hAnsi="Arial" w:cs="Arial"/>
          <w:color w:val="000000"/>
        </w:rPr>
        <w:t>rozliczeniowym  z</w:t>
      </w:r>
      <w:proofErr w:type="gramEnd"/>
      <w:r w:rsidRPr="00DB4756">
        <w:rPr>
          <w:rFonts w:ascii="Arial" w:hAnsi="Arial" w:cs="Arial"/>
          <w:color w:val="000000"/>
        </w:rPr>
        <w:t xml:space="preserve"> tytułu opłaty eksploatacyjnej jest półrocze liczone odpowiednio </w:t>
      </w:r>
      <w:r w:rsidR="00DB4756">
        <w:rPr>
          <w:rFonts w:ascii="Arial" w:hAnsi="Arial" w:cs="Arial"/>
          <w:color w:val="000000"/>
        </w:rPr>
        <w:t>od dnia</w:t>
      </w:r>
      <w:r w:rsidRPr="00DB4756">
        <w:rPr>
          <w:rFonts w:ascii="Arial" w:hAnsi="Arial" w:cs="Arial"/>
          <w:color w:val="000000"/>
        </w:rPr>
        <w:t xml:space="preserve"> 1 stycznia do dnia 30 czerwca i od dnia 1 lipca do dnia 31 grudnia). Jeżeli ostatni dzień terminu złożenia informacji dotyczącej opłaty za wydobytą kopalinę przypada na sobotę lub dzień ustawowo wolny od pracy, za ostatni dzień tego terminu uważa się następny dzień po dniu lub dniach wolnych od pracy.</w:t>
      </w:r>
    </w:p>
    <w:p w14:paraId="27D6D841" w14:textId="77777777" w:rsidR="00EA146C" w:rsidRPr="00DB4756" w:rsidRDefault="00EA146C" w:rsidP="00DB4756">
      <w:pPr>
        <w:tabs>
          <w:tab w:val="left" w:pos="360"/>
        </w:tabs>
        <w:snapToGrid w:val="0"/>
        <w:spacing w:line="288" w:lineRule="auto"/>
        <w:ind w:left="360" w:hanging="360"/>
        <w:jc w:val="both"/>
        <w:rPr>
          <w:rFonts w:ascii="Arial" w:hAnsi="Arial" w:cs="Arial"/>
          <w:color w:val="000000"/>
        </w:rPr>
      </w:pPr>
      <w:r w:rsidRPr="00DB4756">
        <w:rPr>
          <w:rFonts w:ascii="Arial" w:hAnsi="Arial" w:cs="Arial"/>
          <w:b/>
          <w:bCs/>
          <w:color w:val="000000"/>
        </w:rPr>
        <w:t>INFORMACJA O TRYBIE ODWOŁAWCZYM:</w:t>
      </w:r>
    </w:p>
    <w:p w14:paraId="7832F30D" w14:textId="77777777" w:rsidR="00EA146C" w:rsidRPr="00DB4756" w:rsidRDefault="00EA146C" w:rsidP="00DB4756">
      <w:pPr>
        <w:tabs>
          <w:tab w:val="left" w:pos="360"/>
        </w:tabs>
        <w:snapToGrid w:val="0"/>
        <w:spacing w:line="288" w:lineRule="auto"/>
        <w:ind w:left="360"/>
        <w:jc w:val="both"/>
        <w:rPr>
          <w:rFonts w:ascii="Arial" w:hAnsi="Arial" w:cs="Arial"/>
          <w:b/>
          <w:bCs/>
          <w:color w:val="000000"/>
          <w:sz w:val="20"/>
          <w:szCs w:val="20"/>
        </w:rPr>
      </w:pPr>
      <w:r w:rsidRPr="00DB4756">
        <w:rPr>
          <w:rFonts w:ascii="Arial" w:hAnsi="Arial" w:cs="Arial"/>
          <w:color w:val="000000"/>
        </w:rPr>
        <w:t>Odwołanie przysługuje od decyzji wydanej w trybie art.138 ww</w:t>
      </w:r>
      <w:r w:rsidR="00590B10">
        <w:rPr>
          <w:rFonts w:ascii="Arial" w:hAnsi="Arial" w:cs="Arial"/>
          <w:color w:val="000000"/>
        </w:rPr>
        <w:t xml:space="preserve">. ustawy w sprawie określenia </w:t>
      </w:r>
      <w:r w:rsidRPr="00DB4756">
        <w:rPr>
          <w:rFonts w:ascii="Arial" w:hAnsi="Arial" w:cs="Arial"/>
          <w:color w:val="000000"/>
        </w:rPr>
        <w:t xml:space="preserve">z urzędu wysokości należnej opłaty, w przypadku </w:t>
      </w:r>
      <w:proofErr w:type="gramStart"/>
      <w:r w:rsidRPr="00DB4756">
        <w:rPr>
          <w:rFonts w:ascii="Arial" w:hAnsi="Arial" w:cs="Arial"/>
          <w:color w:val="000000"/>
        </w:rPr>
        <w:t xml:space="preserve">stwierdzenia,   </w:t>
      </w:r>
      <w:proofErr w:type="gramEnd"/>
      <w:r w:rsidRPr="00DB4756">
        <w:rPr>
          <w:rFonts w:ascii="Arial" w:hAnsi="Arial" w:cs="Arial"/>
          <w:color w:val="000000"/>
        </w:rPr>
        <w:t xml:space="preserve">     </w:t>
      </w:r>
      <w:r w:rsidR="00B234F0">
        <w:rPr>
          <w:rFonts w:ascii="Arial" w:hAnsi="Arial" w:cs="Arial"/>
          <w:color w:val="000000"/>
        </w:rPr>
        <w:t xml:space="preserve">  </w:t>
      </w:r>
      <w:r w:rsidRPr="00DB4756">
        <w:rPr>
          <w:rFonts w:ascii="Arial" w:hAnsi="Arial" w:cs="Arial"/>
          <w:color w:val="000000"/>
        </w:rPr>
        <w:t>że przedsiębiorca nie dokonał wpłaty opłaty w terminie albo dokonał wpłaty          w wysokości innej niż należna.</w:t>
      </w:r>
    </w:p>
    <w:p w14:paraId="55A34354" w14:textId="77777777" w:rsidR="00DB4756" w:rsidRDefault="00DB4756" w:rsidP="00DB4756">
      <w:pPr>
        <w:tabs>
          <w:tab w:val="left" w:pos="360"/>
        </w:tabs>
        <w:snapToGrid w:val="0"/>
        <w:spacing w:line="288" w:lineRule="auto"/>
        <w:ind w:left="360"/>
        <w:rPr>
          <w:rFonts w:ascii="Arial" w:hAnsi="Arial" w:cs="Arial"/>
          <w:b/>
          <w:bCs/>
          <w:color w:val="000000"/>
          <w:sz w:val="20"/>
          <w:szCs w:val="20"/>
        </w:rPr>
      </w:pPr>
    </w:p>
    <w:p w14:paraId="735ACAA6" w14:textId="77777777" w:rsidR="00EA146C" w:rsidRPr="00DB4756" w:rsidRDefault="00892F19" w:rsidP="00892F19">
      <w:pPr>
        <w:tabs>
          <w:tab w:val="left" w:pos="360"/>
        </w:tabs>
        <w:snapToGrid w:val="0"/>
        <w:spacing w:line="288" w:lineRule="auto"/>
        <w:ind w:left="360"/>
        <w:jc w:val="right"/>
        <w:rPr>
          <w:rFonts w:ascii="Arial" w:hAnsi="Arial" w:cs="Arial"/>
          <w:bCs/>
          <w:i/>
          <w:color w:val="000000"/>
          <w:sz w:val="20"/>
          <w:szCs w:val="20"/>
        </w:rPr>
      </w:pPr>
      <w:r>
        <w:rPr>
          <w:rFonts w:ascii="Arial" w:hAnsi="Arial" w:cs="Arial"/>
          <w:bCs/>
          <w:i/>
          <w:color w:val="000000"/>
          <w:sz w:val="20"/>
          <w:szCs w:val="20"/>
        </w:rPr>
        <w:t xml:space="preserve">1 / 2 </w:t>
      </w:r>
    </w:p>
    <w:p w14:paraId="7D1D3A09" w14:textId="77777777" w:rsidR="00EA146C" w:rsidRPr="00DB4756" w:rsidRDefault="00EA146C" w:rsidP="00DB4756">
      <w:pPr>
        <w:tabs>
          <w:tab w:val="left" w:pos="360"/>
        </w:tabs>
        <w:snapToGrid w:val="0"/>
        <w:spacing w:line="288" w:lineRule="auto"/>
        <w:ind w:left="360" w:hanging="360"/>
        <w:jc w:val="both"/>
        <w:rPr>
          <w:rFonts w:ascii="Arial" w:hAnsi="Arial" w:cs="Arial"/>
          <w:b/>
          <w:bCs/>
          <w:color w:val="000000"/>
        </w:rPr>
      </w:pPr>
    </w:p>
    <w:p w14:paraId="654875A9" w14:textId="77777777" w:rsidR="00EA146C" w:rsidRPr="00DB4756" w:rsidRDefault="00EA146C" w:rsidP="00DB4756">
      <w:pPr>
        <w:tabs>
          <w:tab w:val="left" w:pos="360"/>
        </w:tabs>
        <w:snapToGrid w:val="0"/>
        <w:spacing w:line="288" w:lineRule="auto"/>
        <w:ind w:left="360" w:hanging="360"/>
        <w:jc w:val="both"/>
        <w:rPr>
          <w:rFonts w:ascii="Arial" w:hAnsi="Arial" w:cs="Arial"/>
          <w:b/>
          <w:bCs/>
          <w:color w:val="000000"/>
        </w:rPr>
      </w:pPr>
    </w:p>
    <w:p w14:paraId="27D6C11E" w14:textId="77777777" w:rsidR="00EA146C" w:rsidRDefault="00EA146C" w:rsidP="00DB4756">
      <w:pPr>
        <w:tabs>
          <w:tab w:val="left" w:pos="360"/>
        </w:tabs>
        <w:snapToGrid w:val="0"/>
        <w:spacing w:line="288" w:lineRule="auto"/>
        <w:ind w:left="360" w:hanging="360"/>
        <w:jc w:val="both"/>
        <w:rPr>
          <w:rFonts w:ascii="Arial" w:hAnsi="Arial" w:cs="Arial"/>
          <w:b/>
          <w:bCs/>
          <w:color w:val="000000"/>
        </w:rPr>
      </w:pPr>
    </w:p>
    <w:p w14:paraId="74BB64E0" w14:textId="77777777" w:rsidR="00DB4756" w:rsidRPr="00DB4756" w:rsidRDefault="00DB4756" w:rsidP="00DB4756">
      <w:pPr>
        <w:tabs>
          <w:tab w:val="left" w:pos="360"/>
        </w:tabs>
        <w:snapToGrid w:val="0"/>
        <w:spacing w:line="288" w:lineRule="auto"/>
        <w:ind w:left="360" w:hanging="360"/>
        <w:jc w:val="both"/>
        <w:rPr>
          <w:rFonts w:ascii="Arial" w:hAnsi="Arial" w:cs="Arial"/>
          <w:b/>
          <w:bCs/>
          <w:color w:val="000000"/>
        </w:rPr>
      </w:pPr>
    </w:p>
    <w:p w14:paraId="5419E26E" w14:textId="77777777" w:rsidR="00EA146C" w:rsidRPr="00DB4756" w:rsidRDefault="00EA146C" w:rsidP="00DB4756">
      <w:pPr>
        <w:tabs>
          <w:tab w:val="left" w:pos="360"/>
        </w:tabs>
        <w:snapToGrid w:val="0"/>
        <w:spacing w:line="288" w:lineRule="auto"/>
        <w:ind w:left="360" w:hanging="360"/>
        <w:jc w:val="both"/>
        <w:rPr>
          <w:rFonts w:ascii="Arial" w:hAnsi="Arial" w:cs="Arial"/>
          <w:color w:val="000000"/>
        </w:rPr>
      </w:pPr>
      <w:r w:rsidRPr="00DB4756">
        <w:rPr>
          <w:rFonts w:ascii="Arial" w:hAnsi="Arial" w:cs="Arial"/>
          <w:b/>
          <w:bCs/>
          <w:color w:val="000000"/>
        </w:rPr>
        <w:t>UWAGI:</w:t>
      </w:r>
    </w:p>
    <w:p w14:paraId="001075F3" w14:textId="77777777" w:rsidR="00EA146C" w:rsidRPr="00DB4756" w:rsidRDefault="00EA146C" w:rsidP="00DB4756">
      <w:pPr>
        <w:tabs>
          <w:tab w:val="left" w:pos="360"/>
        </w:tabs>
        <w:snapToGrid w:val="0"/>
        <w:spacing w:line="288" w:lineRule="auto"/>
        <w:ind w:left="360"/>
        <w:jc w:val="both"/>
        <w:rPr>
          <w:rFonts w:ascii="Arial" w:hAnsi="Arial" w:cs="Arial"/>
          <w:color w:val="FF6600"/>
          <w:sz w:val="32"/>
          <w:szCs w:val="32"/>
        </w:rPr>
      </w:pPr>
      <w:r w:rsidRPr="00DB4756">
        <w:rPr>
          <w:rFonts w:ascii="Arial" w:hAnsi="Arial" w:cs="Arial"/>
          <w:color w:val="000000"/>
        </w:rPr>
        <w:t>Przedsiębiorca, który uzyskał koncesję na wydobywanie kopaliny ze złoża, samodzielnie ustala wysokość opłaty eksploatacyjnej należnej za okres rozliczeniowy i wnosi ją na rachunki bankowe gminy, na terenie której jest prowadzona działalność, oraz Narodowego Funduszu Ochrony Środowiska            i Gospodarki Wodnej, bez wezwania. Do ustalenia opłaty eksploatacyjnej stosuje się stawki określone w załączniku do ustawy – Prawo geologiczne</w:t>
      </w:r>
      <w:r w:rsidRPr="00DB4756">
        <w:rPr>
          <w:rFonts w:ascii="Arial" w:hAnsi="Arial" w:cs="Arial"/>
          <w:color w:val="000000"/>
        </w:rPr>
        <w:br/>
        <w:t>i górnicze. Stawki opłat podlegają corocznej zmianie stosownie do średniorocznego wskaźnika cen towarów i usług konsumpcyjnych ogółem, planowanego w ustawie budżetowej na dany rok kalendarzowy.</w:t>
      </w:r>
    </w:p>
    <w:p w14:paraId="1289928B" w14:textId="77777777" w:rsidR="00EA146C" w:rsidRPr="00DB4756" w:rsidRDefault="00EA146C" w:rsidP="00DB4756">
      <w:pPr>
        <w:tabs>
          <w:tab w:val="left" w:pos="360"/>
        </w:tabs>
        <w:snapToGrid w:val="0"/>
        <w:spacing w:line="288" w:lineRule="auto"/>
        <w:ind w:left="360" w:hanging="360"/>
        <w:jc w:val="both"/>
        <w:rPr>
          <w:rFonts w:ascii="Arial" w:hAnsi="Arial" w:cs="Arial"/>
          <w:b/>
          <w:color w:val="2A2A2A"/>
        </w:rPr>
      </w:pPr>
      <w:r w:rsidRPr="00DB4756">
        <w:rPr>
          <w:rFonts w:ascii="Arial" w:hAnsi="Arial" w:cs="Arial"/>
          <w:color w:val="FF6600"/>
          <w:sz w:val="32"/>
          <w:szCs w:val="32"/>
        </w:rPr>
        <w:t>*</w:t>
      </w:r>
      <w:proofErr w:type="gramStart"/>
      <w:r w:rsidRPr="00DB4756">
        <w:rPr>
          <w:rFonts w:ascii="Arial" w:hAnsi="Arial" w:cs="Arial"/>
          <w:color w:val="000000"/>
        </w:rPr>
        <w:t>)  patrz</w:t>
      </w:r>
      <w:proofErr w:type="gramEnd"/>
      <w:r w:rsidRPr="00DB4756">
        <w:rPr>
          <w:rFonts w:ascii="Arial" w:hAnsi="Arial" w:cs="Arial"/>
          <w:color w:val="000000"/>
        </w:rPr>
        <w:t xml:space="preserve"> „Wzór informacji dotyczącej opłaty“</w:t>
      </w:r>
    </w:p>
    <w:p w14:paraId="42C798DE" w14:textId="77777777" w:rsidR="00EA146C" w:rsidRPr="00DB4756" w:rsidRDefault="00EA146C" w:rsidP="00DB4756">
      <w:pPr>
        <w:pStyle w:val="Tekstpodstawowy"/>
        <w:spacing w:after="0"/>
        <w:rPr>
          <w:rFonts w:ascii="Arial" w:hAnsi="Arial" w:cs="Arial"/>
          <w:color w:val="2A2A2A"/>
        </w:rPr>
      </w:pPr>
      <w:proofErr w:type="gramStart"/>
      <w:r w:rsidRPr="00DB4756">
        <w:rPr>
          <w:rFonts w:ascii="Arial" w:hAnsi="Arial" w:cs="Arial"/>
          <w:b/>
          <w:color w:val="2A2A2A"/>
        </w:rPr>
        <w:t>INNE  INFORMACJE</w:t>
      </w:r>
      <w:proofErr w:type="gramEnd"/>
    </w:p>
    <w:p w14:paraId="7E4050E2" w14:textId="77777777" w:rsidR="00EA146C" w:rsidRPr="00DB4756" w:rsidRDefault="00EA146C" w:rsidP="00590B10">
      <w:pPr>
        <w:pStyle w:val="Tekstpodstawowy"/>
        <w:spacing w:after="0"/>
        <w:ind w:left="365"/>
        <w:rPr>
          <w:rFonts w:ascii="Arial" w:hAnsi="Arial" w:cs="Arial"/>
          <w:color w:val="2A2A2A"/>
        </w:rPr>
      </w:pPr>
      <w:r w:rsidRPr="00DB4756">
        <w:rPr>
          <w:rFonts w:ascii="Arial" w:hAnsi="Arial" w:cs="Arial"/>
          <w:color w:val="2A2A2A"/>
        </w:rPr>
        <w:t xml:space="preserve">Dodatkowe informacje udzielane są przez Geologa </w:t>
      </w:r>
      <w:proofErr w:type="gramStart"/>
      <w:r w:rsidRPr="00DB4756">
        <w:rPr>
          <w:rFonts w:ascii="Arial" w:hAnsi="Arial" w:cs="Arial"/>
          <w:color w:val="2A2A2A"/>
        </w:rPr>
        <w:t xml:space="preserve">Powiatowego </w:t>
      </w:r>
      <w:r w:rsidR="006E3130">
        <w:rPr>
          <w:rFonts w:ascii="Arial" w:hAnsi="Arial" w:cs="Arial"/>
          <w:color w:val="2A2A2A"/>
        </w:rPr>
        <w:t xml:space="preserve"> II</w:t>
      </w:r>
      <w:proofErr w:type="gramEnd"/>
      <w:r w:rsidR="006E3130">
        <w:rPr>
          <w:rFonts w:ascii="Arial" w:hAnsi="Arial" w:cs="Arial"/>
          <w:color w:val="2A2A2A"/>
        </w:rPr>
        <w:t xml:space="preserve"> piętro pok. 32,  tel. 71 380 69 85 (piąt</w:t>
      </w:r>
      <w:r w:rsidR="00590B10">
        <w:rPr>
          <w:rFonts w:ascii="Arial" w:hAnsi="Arial" w:cs="Arial"/>
          <w:color w:val="2A2A2A"/>
        </w:rPr>
        <w:t>ek)</w:t>
      </w:r>
      <w:r w:rsidRPr="00DB4756">
        <w:rPr>
          <w:rFonts w:ascii="Arial" w:hAnsi="Arial" w:cs="Arial"/>
          <w:color w:val="2A2A2A"/>
        </w:rPr>
        <w:t xml:space="preserve"> </w:t>
      </w:r>
    </w:p>
    <w:p w14:paraId="046BECBC" w14:textId="77777777" w:rsidR="00EA146C" w:rsidRPr="00DB4756" w:rsidRDefault="00EA146C" w:rsidP="00DB4756">
      <w:pPr>
        <w:pStyle w:val="Tekstpodstawowy"/>
        <w:spacing w:after="0"/>
        <w:ind w:left="391"/>
        <w:rPr>
          <w:rFonts w:ascii="Arial" w:hAnsi="Arial" w:cs="Arial"/>
          <w:color w:val="2A2A2A"/>
        </w:rPr>
      </w:pPr>
    </w:p>
    <w:p w14:paraId="3B659AE0" w14:textId="77777777" w:rsidR="00EA146C" w:rsidRPr="00DB4756" w:rsidRDefault="00EA146C" w:rsidP="00DB4756">
      <w:pPr>
        <w:pStyle w:val="Tekstpodstawowy"/>
        <w:spacing w:after="0"/>
        <w:ind w:left="391"/>
        <w:rPr>
          <w:rFonts w:ascii="Arial" w:hAnsi="Arial" w:cs="Arial"/>
          <w:color w:val="2A2A2A"/>
        </w:rPr>
      </w:pPr>
    </w:p>
    <w:p w14:paraId="43F34E27" w14:textId="77777777" w:rsidR="00EA146C" w:rsidRPr="00DB4756" w:rsidRDefault="00EA146C" w:rsidP="00DB4756">
      <w:pPr>
        <w:pStyle w:val="Tekstpodstawowy"/>
        <w:spacing w:after="0"/>
        <w:ind w:left="391"/>
        <w:rPr>
          <w:rFonts w:ascii="Arial" w:hAnsi="Arial" w:cs="Arial"/>
          <w:color w:val="2A2A2A"/>
        </w:rPr>
      </w:pPr>
    </w:p>
    <w:p w14:paraId="680A12A5" w14:textId="77777777" w:rsidR="00EA146C" w:rsidRDefault="00EA146C" w:rsidP="00DB4756">
      <w:pPr>
        <w:pStyle w:val="Tekstpodstawowy"/>
        <w:spacing w:after="0"/>
        <w:ind w:left="391"/>
        <w:rPr>
          <w:rFonts w:ascii="Arial" w:hAnsi="Arial" w:cs="Arial"/>
          <w:color w:val="2A2A2A"/>
        </w:rPr>
      </w:pPr>
    </w:p>
    <w:p w14:paraId="657A3408" w14:textId="77777777" w:rsidR="00EA146C" w:rsidRDefault="00EA146C" w:rsidP="00DB4756">
      <w:pPr>
        <w:pStyle w:val="Tekstpodstawowy"/>
        <w:spacing w:after="0"/>
        <w:ind w:left="391"/>
        <w:rPr>
          <w:rFonts w:ascii="Arial" w:hAnsi="Arial" w:cs="Arial"/>
          <w:color w:val="2A2A2A"/>
        </w:rPr>
      </w:pPr>
    </w:p>
    <w:p w14:paraId="1C2B0CEC" w14:textId="77777777" w:rsidR="00EA146C" w:rsidRDefault="00EA146C" w:rsidP="00DB4756">
      <w:pPr>
        <w:pStyle w:val="Tekstpodstawowy"/>
        <w:spacing w:after="0"/>
        <w:ind w:left="391"/>
        <w:rPr>
          <w:rFonts w:ascii="Arial" w:hAnsi="Arial" w:cs="Arial"/>
          <w:color w:val="2A2A2A"/>
        </w:rPr>
      </w:pPr>
    </w:p>
    <w:p w14:paraId="3A9B706F" w14:textId="77777777" w:rsidR="00EA146C" w:rsidRDefault="00EA146C" w:rsidP="00DB4756">
      <w:pPr>
        <w:pStyle w:val="Tekstpodstawowy"/>
        <w:spacing w:after="0"/>
        <w:ind w:left="391"/>
        <w:rPr>
          <w:rFonts w:ascii="Arial" w:hAnsi="Arial" w:cs="Arial"/>
          <w:color w:val="2A2A2A"/>
        </w:rPr>
      </w:pPr>
    </w:p>
    <w:p w14:paraId="78351CBA" w14:textId="77777777" w:rsidR="00EA146C" w:rsidRDefault="00EA146C" w:rsidP="00DB4756">
      <w:pPr>
        <w:pStyle w:val="Tekstpodstawowy"/>
        <w:spacing w:after="0"/>
        <w:ind w:left="391"/>
        <w:rPr>
          <w:rFonts w:ascii="Arial" w:hAnsi="Arial" w:cs="Arial"/>
          <w:color w:val="2A2A2A"/>
        </w:rPr>
      </w:pPr>
    </w:p>
    <w:p w14:paraId="289BF393" w14:textId="77777777" w:rsidR="00EA146C" w:rsidRDefault="00EA146C" w:rsidP="00DB4756">
      <w:pPr>
        <w:pStyle w:val="Tekstpodstawowy"/>
        <w:spacing w:after="0"/>
        <w:ind w:left="391"/>
        <w:rPr>
          <w:rFonts w:ascii="Arial" w:hAnsi="Arial" w:cs="Arial"/>
          <w:color w:val="2A2A2A"/>
        </w:rPr>
      </w:pPr>
    </w:p>
    <w:p w14:paraId="01DC0661" w14:textId="77777777" w:rsidR="00EA146C" w:rsidRDefault="00EA146C">
      <w:pPr>
        <w:pStyle w:val="Tekstpodstawowy"/>
        <w:spacing w:after="0"/>
        <w:ind w:left="391"/>
        <w:rPr>
          <w:rFonts w:ascii="Arial" w:hAnsi="Arial" w:cs="Arial"/>
          <w:color w:val="2A2A2A"/>
        </w:rPr>
      </w:pPr>
    </w:p>
    <w:p w14:paraId="70ED5EA6" w14:textId="77777777" w:rsidR="00EA146C" w:rsidRDefault="00EA146C">
      <w:pPr>
        <w:pStyle w:val="Tekstpodstawowy"/>
        <w:spacing w:after="0"/>
        <w:ind w:left="391"/>
        <w:rPr>
          <w:rFonts w:ascii="Arial" w:hAnsi="Arial" w:cs="Arial"/>
          <w:color w:val="2A2A2A"/>
        </w:rPr>
      </w:pPr>
    </w:p>
    <w:p w14:paraId="5D54F4FA" w14:textId="77777777" w:rsidR="00EA146C" w:rsidRDefault="00EA146C">
      <w:pPr>
        <w:pStyle w:val="Tekstpodstawowy"/>
        <w:spacing w:after="0"/>
        <w:ind w:left="391"/>
        <w:rPr>
          <w:rFonts w:ascii="Arial" w:hAnsi="Arial" w:cs="Arial"/>
          <w:color w:val="2A2A2A"/>
        </w:rPr>
      </w:pPr>
    </w:p>
    <w:p w14:paraId="1F46F02A" w14:textId="77777777" w:rsidR="00EA146C" w:rsidRDefault="00EA146C">
      <w:pPr>
        <w:pStyle w:val="Tekstpodstawowy"/>
        <w:spacing w:after="0"/>
        <w:ind w:left="391"/>
        <w:rPr>
          <w:rFonts w:ascii="Arial" w:hAnsi="Arial" w:cs="Arial"/>
          <w:color w:val="2A2A2A"/>
        </w:rPr>
      </w:pPr>
    </w:p>
    <w:p w14:paraId="7F7850D3" w14:textId="77777777" w:rsidR="00EA146C" w:rsidRDefault="00EA146C">
      <w:pPr>
        <w:pStyle w:val="Tekstpodstawowy"/>
        <w:spacing w:after="0"/>
        <w:ind w:left="391"/>
        <w:rPr>
          <w:rFonts w:ascii="Arial" w:hAnsi="Arial" w:cs="Arial"/>
          <w:color w:val="2A2A2A"/>
        </w:rPr>
      </w:pPr>
    </w:p>
    <w:p w14:paraId="45C19920" w14:textId="77777777" w:rsidR="00EA146C" w:rsidRDefault="00EA146C">
      <w:pPr>
        <w:pStyle w:val="Tekstpodstawowy"/>
        <w:spacing w:after="0"/>
        <w:ind w:left="391"/>
        <w:rPr>
          <w:rFonts w:ascii="Arial" w:hAnsi="Arial" w:cs="Arial"/>
          <w:color w:val="2A2A2A"/>
        </w:rPr>
      </w:pPr>
    </w:p>
    <w:p w14:paraId="2F1C3ED0" w14:textId="77777777" w:rsidR="00EA146C" w:rsidRDefault="00EA146C">
      <w:pPr>
        <w:pStyle w:val="Tekstpodstawowy"/>
        <w:spacing w:after="0"/>
        <w:ind w:left="391"/>
        <w:rPr>
          <w:rFonts w:ascii="Arial" w:hAnsi="Arial" w:cs="Arial"/>
          <w:color w:val="2A2A2A"/>
        </w:rPr>
      </w:pPr>
    </w:p>
    <w:p w14:paraId="69A27166" w14:textId="77777777" w:rsidR="00EA146C" w:rsidRDefault="00EA146C">
      <w:pPr>
        <w:pStyle w:val="Tekstpodstawowy"/>
        <w:spacing w:after="0"/>
        <w:ind w:left="391"/>
        <w:rPr>
          <w:rFonts w:ascii="Arial" w:hAnsi="Arial" w:cs="Arial"/>
          <w:color w:val="2A2A2A"/>
        </w:rPr>
      </w:pPr>
    </w:p>
    <w:p w14:paraId="17E54CF8" w14:textId="77777777" w:rsidR="00EA146C" w:rsidRDefault="00EA146C">
      <w:pPr>
        <w:pStyle w:val="Tekstpodstawowy"/>
        <w:spacing w:after="0"/>
        <w:ind w:left="391"/>
        <w:rPr>
          <w:rFonts w:ascii="Arial" w:hAnsi="Arial" w:cs="Arial"/>
          <w:color w:val="2A2A2A"/>
        </w:rPr>
      </w:pPr>
    </w:p>
    <w:p w14:paraId="52C683AF" w14:textId="77777777" w:rsidR="00EA146C" w:rsidRDefault="00EA146C">
      <w:pPr>
        <w:pStyle w:val="Tekstpodstawowy"/>
        <w:spacing w:after="0"/>
        <w:ind w:left="391"/>
        <w:rPr>
          <w:rFonts w:ascii="Arial" w:hAnsi="Arial" w:cs="Arial"/>
          <w:color w:val="2A2A2A"/>
        </w:rPr>
      </w:pPr>
    </w:p>
    <w:p w14:paraId="24B6B641" w14:textId="77777777" w:rsidR="00EA146C" w:rsidRDefault="00EA146C">
      <w:pPr>
        <w:pStyle w:val="Tekstpodstawowy"/>
        <w:spacing w:after="0"/>
        <w:ind w:left="391"/>
        <w:rPr>
          <w:rFonts w:ascii="Arial" w:hAnsi="Arial" w:cs="Arial"/>
          <w:color w:val="2A2A2A"/>
        </w:rPr>
      </w:pPr>
    </w:p>
    <w:p w14:paraId="107AA1C0" w14:textId="77777777" w:rsidR="00EA146C" w:rsidRDefault="00EA146C">
      <w:pPr>
        <w:pStyle w:val="Tekstpodstawowy"/>
        <w:spacing w:after="0"/>
        <w:ind w:left="391"/>
        <w:rPr>
          <w:rFonts w:ascii="Arial" w:hAnsi="Arial" w:cs="Arial"/>
          <w:color w:val="2A2A2A"/>
        </w:rPr>
      </w:pPr>
    </w:p>
    <w:p w14:paraId="4B9BF6D3" w14:textId="77777777" w:rsidR="00EA146C" w:rsidRDefault="00EA146C">
      <w:pPr>
        <w:pStyle w:val="Tekstpodstawowy"/>
        <w:spacing w:after="0"/>
        <w:ind w:left="391"/>
        <w:rPr>
          <w:rFonts w:ascii="Arial" w:hAnsi="Arial" w:cs="Arial"/>
          <w:color w:val="2A2A2A"/>
        </w:rPr>
      </w:pPr>
    </w:p>
    <w:p w14:paraId="3958DFB5" w14:textId="77777777" w:rsidR="00EA146C" w:rsidRDefault="00EA146C">
      <w:pPr>
        <w:pStyle w:val="Tekstpodstawowy"/>
        <w:spacing w:after="0"/>
        <w:ind w:left="391"/>
        <w:rPr>
          <w:rFonts w:ascii="Arial" w:hAnsi="Arial" w:cs="Arial"/>
          <w:color w:val="2A2A2A"/>
        </w:rPr>
      </w:pPr>
    </w:p>
    <w:p w14:paraId="218B018A" w14:textId="77777777" w:rsidR="00EA146C" w:rsidRDefault="00EA146C">
      <w:pPr>
        <w:pStyle w:val="Tekstpodstawowy"/>
        <w:spacing w:after="0"/>
        <w:ind w:left="391"/>
        <w:rPr>
          <w:rFonts w:ascii="Arial" w:hAnsi="Arial" w:cs="Arial"/>
          <w:color w:val="2A2A2A"/>
        </w:rPr>
      </w:pPr>
    </w:p>
    <w:p w14:paraId="6CC6DC5A" w14:textId="77777777" w:rsidR="00EA146C" w:rsidRDefault="00EA146C">
      <w:pPr>
        <w:pStyle w:val="Tekstpodstawowy"/>
        <w:spacing w:after="0"/>
        <w:ind w:left="391"/>
        <w:rPr>
          <w:rFonts w:ascii="Arial" w:hAnsi="Arial" w:cs="Arial"/>
          <w:color w:val="2A2A2A"/>
        </w:rPr>
      </w:pPr>
    </w:p>
    <w:p w14:paraId="24006501" w14:textId="77777777" w:rsidR="00EA146C" w:rsidRDefault="00EA146C">
      <w:pPr>
        <w:pStyle w:val="Tekstpodstawowy"/>
        <w:spacing w:after="0"/>
        <w:ind w:left="391"/>
        <w:rPr>
          <w:rFonts w:ascii="Arial" w:hAnsi="Arial" w:cs="Arial"/>
          <w:color w:val="2A2A2A"/>
        </w:rPr>
      </w:pPr>
    </w:p>
    <w:p w14:paraId="3E2F9807" w14:textId="77777777" w:rsidR="00EA146C" w:rsidRDefault="00EA146C">
      <w:pPr>
        <w:pStyle w:val="Tekstpodstawowy"/>
        <w:spacing w:after="0"/>
        <w:ind w:left="391"/>
        <w:rPr>
          <w:rFonts w:ascii="Arial" w:hAnsi="Arial" w:cs="Arial"/>
          <w:color w:val="2A2A2A"/>
        </w:rPr>
      </w:pPr>
    </w:p>
    <w:p w14:paraId="42E81504" w14:textId="77777777" w:rsidR="00DB4756" w:rsidRDefault="00DB4756">
      <w:pPr>
        <w:pStyle w:val="Tekstpodstawowy"/>
        <w:spacing w:after="0"/>
        <w:ind w:left="391"/>
        <w:rPr>
          <w:rFonts w:ascii="Arial" w:hAnsi="Arial" w:cs="Arial"/>
          <w:color w:val="2A2A2A"/>
        </w:rPr>
      </w:pPr>
    </w:p>
    <w:p w14:paraId="5C7B1770" w14:textId="77777777" w:rsidR="00DB4756" w:rsidRDefault="00DB4756">
      <w:pPr>
        <w:pStyle w:val="Tekstpodstawowy"/>
        <w:spacing w:after="0"/>
        <w:ind w:left="391"/>
        <w:rPr>
          <w:rFonts w:ascii="Arial" w:hAnsi="Arial" w:cs="Arial"/>
          <w:color w:val="2A2A2A"/>
        </w:rPr>
      </w:pPr>
    </w:p>
    <w:p w14:paraId="793F0D7C" w14:textId="77777777" w:rsidR="00DB4756" w:rsidRDefault="00DB4756">
      <w:pPr>
        <w:pStyle w:val="Tekstpodstawowy"/>
        <w:spacing w:after="0"/>
        <w:ind w:left="391"/>
        <w:rPr>
          <w:rFonts w:ascii="Arial" w:hAnsi="Arial" w:cs="Arial"/>
          <w:color w:val="2A2A2A"/>
        </w:rPr>
      </w:pPr>
    </w:p>
    <w:p w14:paraId="02F53A2C" w14:textId="77777777" w:rsidR="00EA146C" w:rsidRPr="00DB4756" w:rsidRDefault="00892F19" w:rsidP="00892F19">
      <w:pPr>
        <w:tabs>
          <w:tab w:val="left" w:pos="360"/>
        </w:tabs>
        <w:snapToGrid w:val="0"/>
        <w:spacing w:before="120" w:after="120" w:line="288" w:lineRule="auto"/>
        <w:ind w:left="360"/>
        <w:jc w:val="right"/>
        <w:rPr>
          <w:rFonts w:ascii="Arial" w:hAnsi="Arial" w:cs="Arial"/>
        </w:rPr>
      </w:pPr>
      <w:r>
        <w:rPr>
          <w:rFonts w:ascii="Arial" w:hAnsi="Arial" w:cs="Arial"/>
          <w:bCs/>
          <w:color w:val="000000"/>
          <w:sz w:val="20"/>
          <w:szCs w:val="20"/>
          <w:lang w:val="de-DE"/>
        </w:rPr>
        <w:t xml:space="preserve">2 / 2 </w:t>
      </w:r>
    </w:p>
    <w:p w14:paraId="14C561A9" w14:textId="77777777" w:rsidR="00EA146C" w:rsidRDefault="00EA146C">
      <w:pPr>
        <w:pStyle w:val="Tekstpodstawowy"/>
        <w:rPr>
          <w:rFonts w:ascii="Arial" w:hAnsi="Arial" w:cs="Arial"/>
        </w:rPr>
      </w:pPr>
    </w:p>
    <w:sectPr w:rsidR="00EA146C">
      <w:pgSz w:w="11906" w:h="16838"/>
      <w:pgMar w:top="400" w:right="1417" w:bottom="214"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bullet"/>
      <w:lvlText w:val=""/>
      <w:lvlJc w:val="left"/>
      <w:pPr>
        <w:tabs>
          <w:tab w:val="num" w:pos="4320"/>
        </w:tabs>
        <w:ind w:left="4320" w:hanging="360"/>
      </w:pPr>
      <w:rPr>
        <w:rFonts w:ascii="Wingdings" w:hAnsi="Wingdings" w:cs="Wingding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color w:val="auto"/>
        <w:sz w:val="24"/>
        <w:szCs w:val="24"/>
        <w:lang w:val="de-D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auto"/>
        <w:sz w:val="24"/>
        <w:szCs w:val="24"/>
        <w:lang w:val="de-D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auto"/>
        <w:sz w:val="24"/>
        <w:szCs w:val="24"/>
        <w:lang w:val="de-DE"/>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16cid:durableId="233858247">
    <w:abstractNumId w:val="0"/>
  </w:num>
  <w:num w:numId="2" w16cid:durableId="1828521884">
    <w:abstractNumId w:val="1"/>
  </w:num>
  <w:num w:numId="3" w16cid:durableId="28246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56"/>
    <w:rsid w:val="00045A34"/>
    <w:rsid w:val="00590B10"/>
    <w:rsid w:val="006E3130"/>
    <w:rsid w:val="00892F19"/>
    <w:rsid w:val="00AB1949"/>
    <w:rsid w:val="00B234F0"/>
    <w:rsid w:val="00C82C89"/>
    <w:rsid w:val="00DB4756"/>
    <w:rsid w:val="00EA146C"/>
    <w:rsid w:val="00EB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33C4D68"/>
  <w15:chartTrackingRefBased/>
  <w15:docId w15:val="{8C43677A-D9DB-49F6-B65D-5AA3538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6">
    <w:name w:val="heading 6"/>
    <w:basedOn w:val="Normalny"/>
    <w:next w:val="Normalny"/>
    <w:qFormat/>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Wingdings" w:hAnsi="Wingdings" w:cs="Wingdings" w:hint="default"/>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sz w:val="24"/>
      <w:szCs w:val="24"/>
      <w:lang w:val="de-DE"/>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styleId="Hipercze">
    <w:name w:val="Hyperlink"/>
    <w:rPr>
      <w:color w:val="0000FF"/>
      <w:u w:val="singl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100" w:after="100"/>
    </w:pPr>
    <w:rPr>
      <w:color w:val="00000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character" w:styleId="Uwydatnienie">
    <w:name w:val="Emphasis"/>
    <w:uiPriority w:val="20"/>
    <w:qFormat/>
    <w:rsid w:val="00892F19"/>
    <w:rPr>
      <w:i/>
      <w:iCs/>
    </w:rPr>
  </w:style>
  <w:style w:type="character" w:customStyle="1" w:styleId="addr-name-output">
    <w:name w:val="addr-name-output"/>
    <w:rsid w:val="00AB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Starostwo Powiatowe w Rawiczu</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Rawiczu</dc:title>
  <dc:subject/>
  <dc:creator>mkonieczny</dc:creator>
  <cp:keywords/>
  <cp:lastModifiedBy>Łukasz Zator</cp:lastModifiedBy>
  <cp:revision>2</cp:revision>
  <cp:lastPrinted>2016-02-16T11:17:00Z</cp:lastPrinted>
  <dcterms:created xsi:type="dcterms:W3CDTF">2022-11-18T09:49:00Z</dcterms:created>
  <dcterms:modified xsi:type="dcterms:W3CDTF">2022-11-18T09:49:00Z</dcterms:modified>
</cp:coreProperties>
</file>