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C9CC" w14:textId="77777777" w:rsidR="00FF4032" w:rsidRDefault="00FF4032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ZGŁÓSZENIE PROJEKTÓW ROBÓT GEOLOGICZNYCH, KTÓRYCH</w:t>
      </w:r>
    </w:p>
    <w:p w14:paraId="4EE05DC4" w14:textId="77777777" w:rsidR="00FF4032" w:rsidRDefault="00FF4032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WYKONYWANIE NIE WYMAGA UZYSKANIA ZATWIERDZENIA W FORMIE DECYZJI W TYM </w:t>
      </w:r>
      <w:r>
        <w:rPr>
          <w:rFonts w:ascii="Arial" w:hAnsi="Arial" w:cs="Arial"/>
          <w:b/>
          <w:bCs/>
        </w:rPr>
        <w:t xml:space="preserve">PROJEKTU ROBÓT GEOLOGICZNYCH W CELU WYKORZYSTANIA CIEPŁA ZIEMI / WYKONANIA OTWORÓW WIERTNICZYCH DO GŁĘBOKOŚCI 30 </w:t>
      </w:r>
      <w:proofErr w:type="gramStart"/>
      <w:r>
        <w:rPr>
          <w:rFonts w:ascii="Arial" w:hAnsi="Arial" w:cs="Arial"/>
          <w:b/>
          <w:bCs/>
        </w:rPr>
        <w:t>M  DLA</w:t>
      </w:r>
      <w:proofErr w:type="gramEnd"/>
      <w:r>
        <w:rPr>
          <w:rFonts w:ascii="Arial" w:hAnsi="Arial" w:cs="Arial"/>
          <w:b/>
          <w:bCs/>
        </w:rPr>
        <w:t xml:space="preserve"> UJĘCI WODY DO 5 M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/>
          <w:bCs/>
        </w:rPr>
        <w:t xml:space="preserve"> NA DOBĘ NA OBSZARACH GÓRNICZYCH </w:t>
      </w:r>
    </w:p>
    <w:p w14:paraId="107A0D0F" w14:textId="77777777" w:rsidR="00FF4032" w:rsidRDefault="00FF4032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3553BEA8" w14:textId="77777777" w:rsidR="00FF4032" w:rsidRDefault="00FF4032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Podstawa prawna:</w:t>
      </w:r>
    </w:p>
    <w:p w14:paraId="68C61470" w14:textId="77777777" w:rsidR="00D31455" w:rsidRPr="00D31455" w:rsidRDefault="00FF4032">
      <w:pPr>
        <w:pStyle w:val="NormalWeb"/>
        <w:numPr>
          <w:ilvl w:val="0"/>
          <w:numId w:val="3"/>
        </w:numPr>
        <w:spacing w:before="0" w:after="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art. 85 i art. 161 ust. 2 </w:t>
      </w:r>
      <w:r>
        <w:rPr>
          <w:rFonts w:ascii="Arial" w:hAnsi="Arial" w:cs="Arial"/>
          <w:color w:val="000000"/>
        </w:rPr>
        <w:t xml:space="preserve">ustawy z dnia z dnia 9 czerwca 2011 roku – Prawo </w:t>
      </w:r>
    </w:p>
    <w:p w14:paraId="120AEBA0" w14:textId="77777777" w:rsidR="00D31455" w:rsidRDefault="00D31455" w:rsidP="00D31455">
      <w:pPr>
        <w:pStyle w:val="NormalWeb"/>
        <w:spacing w:before="0" w:after="0"/>
        <w:ind w:left="284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</w:t>
      </w:r>
      <w:r w:rsidR="00FF4032">
        <w:rPr>
          <w:rFonts w:ascii="Arial" w:hAnsi="Arial" w:cs="Arial"/>
          <w:color w:val="000000"/>
        </w:rPr>
        <w:t>geolo</w:t>
      </w:r>
      <w:r>
        <w:rPr>
          <w:rFonts w:ascii="Arial" w:hAnsi="Arial" w:cs="Arial"/>
          <w:color w:val="000000"/>
        </w:rPr>
        <w:t>giczne i górnicze (Dz. U. z 2022 r. poz. 1072</w:t>
      </w:r>
      <w:r>
        <w:rPr>
          <w:rFonts w:ascii="Arial" w:hAnsi="Arial" w:cs="Arial"/>
        </w:rPr>
        <w:t>)</w:t>
      </w:r>
    </w:p>
    <w:p w14:paraId="47FE11EC" w14:textId="77777777" w:rsidR="00FF4032" w:rsidRPr="006E5DD0" w:rsidRDefault="006E5DD0" w:rsidP="006E5DD0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rozporządzenia Ministra Środowiska z dnia 20 grudnia 2011r. w sprawie szczegółowych wymagań dotyczących projektów robót geologicznych, w tym robót których wykonywanie wymaga uzyskania koncesji (Dz. U.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z  2011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r. Nr 288, poz.1696)</w:t>
      </w:r>
      <w:r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color w:val="000000"/>
          <w:sz w:val="24"/>
          <w:szCs w:val="24"/>
        </w:rPr>
        <w:t>rozporządzenia Ministra Środowiska</w:t>
      </w:r>
      <w:r>
        <w:rPr>
          <w:rFonts w:ascii="Arial" w:hAnsi="Arial" w:cs="Arial"/>
          <w:sz w:val="24"/>
          <w:szCs w:val="24"/>
        </w:rPr>
        <w:t xml:space="preserve"> dnia 1 lipca 2015 r. zmieniające rozporządzenie w sprawie szczegółowych wymagań dotyczących projektów robót geologicznych, w tym robót, których wykonywanie wymaga uzyskania </w:t>
      </w:r>
      <w:proofErr w:type="gramStart"/>
      <w:r>
        <w:rPr>
          <w:rFonts w:ascii="Arial" w:hAnsi="Arial" w:cs="Arial"/>
          <w:sz w:val="24"/>
          <w:szCs w:val="24"/>
        </w:rPr>
        <w:t>koncesji  (</w:t>
      </w:r>
      <w:proofErr w:type="gramEnd"/>
      <w:r>
        <w:rPr>
          <w:rFonts w:ascii="Arial" w:hAnsi="Arial" w:cs="Arial"/>
          <w:sz w:val="24"/>
          <w:szCs w:val="24"/>
        </w:rPr>
        <w:t>Dz.U. 2015</w:t>
      </w:r>
      <w:r>
        <w:t xml:space="preserve"> </w:t>
      </w:r>
      <w:r>
        <w:rPr>
          <w:rFonts w:ascii="Arial" w:hAnsi="Arial" w:cs="Arial"/>
          <w:sz w:val="24"/>
          <w:szCs w:val="24"/>
        </w:rPr>
        <w:t>poz. 964)</w:t>
      </w:r>
    </w:p>
    <w:p w14:paraId="7902586F" w14:textId="77777777" w:rsidR="00FF4032" w:rsidRDefault="00FF4032">
      <w:pPr>
        <w:pStyle w:val="ListParagraph"/>
        <w:spacing w:after="0" w:line="100" w:lineRule="atLeast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A078206" w14:textId="77777777" w:rsidR="00FF4032" w:rsidRDefault="00FF4032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Wymagane dokumenty</w:t>
      </w:r>
    </w:p>
    <w:p w14:paraId="3D140901" w14:textId="77777777" w:rsidR="00FF4032" w:rsidRDefault="00FF4032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„Zgłoszenie”,</w:t>
      </w:r>
    </w:p>
    <w:p w14:paraId="44AA49A0" w14:textId="77777777" w:rsidR="00FF4032" w:rsidRDefault="00FF4032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„Zgłoszenia” należy załączyć:</w:t>
      </w:r>
    </w:p>
    <w:p w14:paraId="53D745EE" w14:textId="77777777" w:rsidR="00FF4032" w:rsidRPr="006E5DD0" w:rsidRDefault="00FF4032">
      <w:pPr>
        <w:pStyle w:val="ListParagraph"/>
        <w:numPr>
          <w:ilvl w:val="1"/>
          <w:numId w:val="1"/>
        </w:numPr>
        <w:spacing w:after="0" w:line="100" w:lineRule="atLeast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robót geol</w:t>
      </w:r>
      <w:r w:rsidR="006E5DD0">
        <w:rPr>
          <w:rFonts w:ascii="Arial" w:hAnsi="Arial" w:cs="Arial"/>
          <w:sz w:val="24"/>
          <w:szCs w:val="24"/>
        </w:rPr>
        <w:t xml:space="preserve">ogicznych w 2 egzemplarzach </w:t>
      </w:r>
      <w:r w:rsidR="006E5DD0" w:rsidRPr="006E5DD0">
        <w:rPr>
          <w:rFonts w:ascii="Arial" w:hAnsi="Arial" w:cs="Arial"/>
          <w:color w:val="FF0000"/>
          <w:sz w:val="24"/>
          <w:szCs w:val="24"/>
        </w:rPr>
        <w:t>*plus</w:t>
      </w:r>
      <w:r w:rsidR="006E5DD0">
        <w:rPr>
          <w:rFonts w:ascii="Arial" w:hAnsi="Arial" w:cs="Arial"/>
          <w:color w:val="FF0000"/>
          <w:sz w:val="24"/>
          <w:szCs w:val="24"/>
        </w:rPr>
        <w:t xml:space="preserve"> jedną wersję w formie elektronicznej</w:t>
      </w:r>
    </w:p>
    <w:p w14:paraId="04A2AE41" w14:textId="77777777" w:rsidR="00FF4032" w:rsidRPr="003A36B8" w:rsidRDefault="00FF4032">
      <w:pPr>
        <w:pStyle w:val="ListParagraph"/>
        <w:numPr>
          <w:ilvl w:val="1"/>
          <w:numId w:val="1"/>
        </w:numPr>
        <w:spacing w:after="0" w:line="100" w:lineRule="atLeast"/>
        <w:jc w:val="both"/>
        <w:rPr>
          <w:rFonts w:ascii="Arial" w:hAnsi="Arial" w:cs="Arial"/>
          <w:b/>
          <w:bCs/>
          <w:color w:val="2A2A2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informację o prawach jakie przysługują wnioskodawcy do </w:t>
      </w:r>
      <w:proofErr w:type="gramStart"/>
      <w:r>
        <w:rPr>
          <w:rFonts w:ascii="Arial" w:hAnsi="Arial" w:cs="Arial"/>
          <w:sz w:val="24"/>
          <w:szCs w:val="24"/>
        </w:rPr>
        <w:t xml:space="preserve">nieruchomości,   </w:t>
      </w:r>
      <w:proofErr w:type="gramEnd"/>
      <w:r>
        <w:rPr>
          <w:rFonts w:ascii="Arial" w:hAnsi="Arial" w:cs="Arial"/>
          <w:sz w:val="24"/>
          <w:szCs w:val="24"/>
        </w:rPr>
        <w:t xml:space="preserve">    w granicach której roboty mają być wykonywane - tytuł prawny do terenu,</w:t>
      </w:r>
    </w:p>
    <w:p w14:paraId="7003B194" w14:textId="77777777" w:rsidR="003A36B8" w:rsidRDefault="003A36B8" w:rsidP="003A36B8">
      <w:pPr>
        <w:pStyle w:val="ListParagraph"/>
        <w:spacing w:after="0" w:line="100" w:lineRule="atLeast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58C05CEC" w14:textId="77777777" w:rsidR="003A36B8" w:rsidRPr="00C50096" w:rsidRDefault="003A36B8" w:rsidP="003A36B8">
      <w:pPr>
        <w:pStyle w:val="ListParagraph"/>
        <w:spacing w:after="0" w:line="100" w:lineRule="atLeast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 w:rsidRPr="00C50096">
        <w:rPr>
          <w:rFonts w:ascii="Arial" w:hAnsi="Arial" w:cs="Arial"/>
          <w:color w:val="FF0000"/>
          <w:sz w:val="20"/>
          <w:szCs w:val="20"/>
        </w:rPr>
        <w:t>*dołączenie wersji w formie elektronicznej jest opcjonalne</w:t>
      </w:r>
      <w:r w:rsidR="00C50096" w:rsidRPr="00C50096">
        <w:rPr>
          <w:rFonts w:ascii="Arial" w:hAnsi="Arial" w:cs="Arial"/>
          <w:color w:val="FF0000"/>
          <w:sz w:val="20"/>
          <w:szCs w:val="20"/>
        </w:rPr>
        <w:t xml:space="preserve"> i może przyspieszyć załatwienie bardziej skomplikowanej sprawy</w:t>
      </w:r>
    </w:p>
    <w:p w14:paraId="66B9A1C6" w14:textId="77777777" w:rsidR="003A36B8" w:rsidRDefault="003A36B8" w:rsidP="003A36B8">
      <w:pPr>
        <w:pStyle w:val="ListParagraph"/>
        <w:spacing w:after="0" w:line="100" w:lineRule="atLeast"/>
        <w:jc w:val="both"/>
        <w:rPr>
          <w:rFonts w:ascii="Arial" w:hAnsi="Arial" w:cs="Arial"/>
          <w:b/>
          <w:bCs/>
          <w:color w:val="2A2A2A"/>
          <w:sz w:val="24"/>
          <w:szCs w:val="24"/>
        </w:rPr>
      </w:pPr>
    </w:p>
    <w:p w14:paraId="7A80132D" w14:textId="77777777" w:rsidR="00FF4032" w:rsidRDefault="00FF4032">
      <w:pPr>
        <w:shd w:val="clear" w:color="auto" w:fill="FFFFFF"/>
        <w:spacing w:after="0" w:line="360" w:lineRule="atLeast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b/>
          <w:bCs/>
          <w:color w:val="2A2A2A"/>
          <w:sz w:val="24"/>
          <w:szCs w:val="24"/>
        </w:rPr>
        <w:t>Miejsce złożenia dokumentów</w:t>
      </w:r>
    </w:p>
    <w:p w14:paraId="1E6C94EB" w14:textId="77777777" w:rsidR="00FF4032" w:rsidRDefault="003A36B8" w:rsidP="00F22038">
      <w:pPr>
        <w:numPr>
          <w:ilvl w:val="0"/>
          <w:numId w:val="13"/>
        </w:numPr>
        <w:shd w:val="clear" w:color="auto" w:fill="FFFFFF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Starostwo Powiatowe w </w:t>
      </w:r>
      <w:proofErr w:type="gramStart"/>
      <w:r>
        <w:rPr>
          <w:rFonts w:ascii="Arial" w:hAnsi="Arial" w:cs="Arial"/>
          <w:color w:val="2A2A2A"/>
          <w:sz w:val="24"/>
          <w:szCs w:val="24"/>
        </w:rPr>
        <w:t>Wołowie</w:t>
      </w:r>
      <w:r w:rsidR="00BA7892">
        <w:rPr>
          <w:rFonts w:ascii="Arial" w:hAnsi="Arial" w:cs="Arial"/>
          <w:color w:val="2A2A2A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 Plac</w:t>
      </w:r>
      <w:proofErr w:type="gramEnd"/>
      <w:r>
        <w:rPr>
          <w:rFonts w:ascii="Arial" w:hAnsi="Arial" w:cs="Arial"/>
          <w:color w:val="2A2A2A"/>
          <w:sz w:val="24"/>
          <w:szCs w:val="24"/>
        </w:rPr>
        <w:t xml:space="preserve"> Piastowski 2, 56-100 Wołów</w:t>
      </w:r>
      <w:r w:rsidR="00F22038">
        <w:rPr>
          <w:rFonts w:ascii="Arial" w:hAnsi="Arial" w:cs="Arial"/>
          <w:color w:val="2A2A2A"/>
          <w:sz w:val="24"/>
          <w:szCs w:val="24"/>
        </w:rPr>
        <w:t xml:space="preserve"> pok.5</w:t>
      </w:r>
    </w:p>
    <w:p w14:paraId="4699C0AE" w14:textId="77777777" w:rsidR="00F22038" w:rsidRDefault="00F22038" w:rsidP="00F22038">
      <w:pPr>
        <w:numPr>
          <w:ilvl w:val="0"/>
          <w:numId w:val="13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Poprzez </w:t>
      </w:r>
      <w:r>
        <w:rPr>
          <w:rFonts w:ascii="Arial" w:hAnsi="Arial" w:cs="Arial"/>
          <w:color w:val="444444"/>
          <w:sz w:val="24"/>
          <w:szCs w:val="24"/>
          <w:shd w:val="clear" w:color="auto" w:fill="F6F6F6"/>
        </w:rPr>
        <w:t>skrytkę</w:t>
      </w:r>
      <w:r>
        <w:rPr>
          <w:rFonts w:ascii="Arial" w:hAnsi="Arial" w:cs="Arial"/>
          <w:b/>
          <w:color w:val="444444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color w:val="444444"/>
          <w:sz w:val="24"/>
          <w:szCs w:val="24"/>
          <w:shd w:val="clear" w:color="auto" w:fill="F6F6F6"/>
        </w:rPr>
        <w:t xml:space="preserve">   ePUAP: </w:t>
      </w:r>
      <w:r>
        <w:rPr>
          <w:rStyle w:val="addr-name-output"/>
          <w:rFonts w:ascii="Arial" w:hAnsi="Arial"/>
          <w:color w:val="444444"/>
          <w:sz w:val="24"/>
          <w:szCs w:val="24"/>
          <w:bdr w:val="none" w:sz="0" w:space="0" w:color="auto" w:frame="1"/>
          <w:shd w:val="clear" w:color="auto" w:fill="F6F6F6"/>
        </w:rPr>
        <w:t>/7u272ofvrz/SkrytkaESP</w:t>
      </w:r>
    </w:p>
    <w:p w14:paraId="1381ADBA" w14:textId="77777777" w:rsidR="00FF4032" w:rsidRDefault="00FF4032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odwoławczy:</w:t>
      </w:r>
    </w:p>
    <w:p w14:paraId="70F27C3A" w14:textId="77777777" w:rsidR="00FF4032" w:rsidRDefault="00FF4032">
      <w:pPr>
        <w:spacing w:after="0" w:line="100" w:lineRule="atLeast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zgłoszenia przez Starostę sprzeciwu w formie decyzji, od tej decyzji służy odwołanie do Samorządowego Kolegium Odwo</w:t>
      </w:r>
      <w:r w:rsidR="00BA7892">
        <w:rPr>
          <w:rFonts w:ascii="Arial" w:hAnsi="Arial" w:cs="Arial"/>
          <w:sz w:val="24"/>
          <w:szCs w:val="24"/>
        </w:rPr>
        <w:t>ławczeg</w:t>
      </w:r>
      <w:r w:rsidR="003A36B8">
        <w:rPr>
          <w:rFonts w:ascii="Arial" w:hAnsi="Arial" w:cs="Arial"/>
          <w:sz w:val="24"/>
          <w:szCs w:val="24"/>
        </w:rPr>
        <w:t>o               we Wrocła</w:t>
      </w:r>
      <w:r w:rsidR="00C50096">
        <w:rPr>
          <w:rFonts w:ascii="Arial" w:hAnsi="Arial" w:cs="Arial"/>
          <w:sz w:val="24"/>
          <w:szCs w:val="24"/>
        </w:rPr>
        <w:t>w</w:t>
      </w:r>
      <w:r w:rsidR="003A36B8">
        <w:rPr>
          <w:rFonts w:ascii="Arial" w:hAnsi="Arial" w:cs="Arial"/>
          <w:sz w:val="24"/>
          <w:szCs w:val="24"/>
        </w:rPr>
        <w:t>iu</w:t>
      </w:r>
      <w:r>
        <w:rPr>
          <w:rFonts w:ascii="Arial" w:hAnsi="Arial" w:cs="Arial"/>
          <w:sz w:val="24"/>
          <w:szCs w:val="24"/>
        </w:rPr>
        <w:t xml:space="preserve"> w terminie 14 dni od daty jej doręczenia.</w:t>
      </w:r>
    </w:p>
    <w:p w14:paraId="2194BE19" w14:textId="77777777" w:rsidR="00FF4032" w:rsidRDefault="00FF4032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624D96D4" w14:textId="77777777" w:rsidR="00FF4032" w:rsidRDefault="00FF4032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Opłata skarbowa:</w:t>
      </w:r>
    </w:p>
    <w:p w14:paraId="55A0235F" w14:textId="77777777" w:rsidR="00FF4032" w:rsidRDefault="00FF4032">
      <w:pPr>
        <w:pStyle w:val="ListParagraph"/>
        <w:spacing w:after="0" w:line="100" w:lineRule="atLeast"/>
        <w:jc w:val="both"/>
      </w:pPr>
      <w:r>
        <w:rPr>
          <w:rFonts w:ascii="Arial" w:hAnsi="Arial" w:cs="Arial"/>
          <w:sz w:val="24"/>
          <w:szCs w:val="24"/>
        </w:rPr>
        <w:t>Zgłoszenie nie wymaga opłaty skarbowych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 przypadku składania zgłoszenia przez Pełnomocnika </w:t>
      </w:r>
      <w:r>
        <w:rPr>
          <w:rFonts w:ascii="Arial" w:hAnsi="Arial" w:cs="Arial"/>
          <w:b/>
          <w:bCs/>
          <w:color w:val="2A2A2A"/>
          <w:sz w:val="24"/>
          <w:szCs w:val="24"/>
        </w:rPr>
        <w:t xml:space="preserve">17 </w:t>
      </w:r>
      <w:r>
        <w:rPr>
          <w:rFonts w:ascii="Arial" w:hAnsi="Arial" w:cs="Arial"/>
          <w:color w:val="2A2A2A"/>
          <w:sz w:val="24"/>
          <w:szCs w:val="24"/>
        </w:rPr>
        <w:t xml:space="preserve">zł za dokument stwierdzający udzielenie pełnomocnictwa lub prokury albo jego odpisu, wypisu lub kopii; </w:t>
      </w:r>
      <w:r>
        <w:rPr>
          <w:rFonts w:ascii="Arial" w:hAnsi="Arial" w:cs="Arial"/>
          <w:sz w:val="24"/>
          <w:szCs w:val="24"/>
        </w:rPr>
        <w:t>płatn</w:t>
      </w:r>
      <w:r w:rsidR="003A36B8">
        <w:rPr>
          <w:rFonts w:ascii="Arial" w:hAnsi="Arial" w:cs="Arial"/>
          <w:b/>
          <w:bCs/>
          <w:sz w:val="24"/>
          <w:szCs w:val="24"/>
        </w:rPr>
        <w:t>e na konto Gminy Wołów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79E3FA" w14:textId="77777777" w:rsidR="00FF4032" w:rsidRDefault="00FF4032">
      <w:pPr>
        <w:pStyle w:val="ListParagraph"/>
        <w:spacing w:after="0" w:line="100" w:lineRule="atLeast"/>
        <w:jc w:val="both"/>
      </w:pPr>
    </w:p>
    <w:p w14:paraId="0E2BE050" w14:textId="77777777" w:rsidR="00FF4032" w:rsidRDefault="00FF4032">
      <w:pPr>
        <w:pStyle w:val="ListParagraph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Uwagi!</w:t>
      </w:r>
    </w:p>
    <w:p w14:paraId="44492585" w14:textId="77777777" w:rsidR="00FF4032" w:rsidRPr="00C50096" w:rsidRDefault="00FF4032">
      <w:pPr>
        <w:pStyle w:val="ListParagraph"/>
        <w:spacing w:after="0" w:line="100" w:lineRule="atLeast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 administracji geologicznej może zgłosić w terminie 30 dni sprzeciw w formie </w:t>
      </w:r>
      <w:r w:rsidRPr="00C50096">
        <w:rPr>
          <w:rFonts w:ascii="Arial" w:hAnsi="Arial" w:cs="Arial"/>
          <w:sz w:val="24"/>
          <w:szCs w:val="24"/>
        </w:rPr>
        <w:t xml:space="preserve">decyzji </w:t>
      </w:r>
      <w:proofErr w:type="gramStart"/>
      <w:r w:rsidRPr="00C50096">
        <w:rPr>
          <w:rFonts w:ascii="Arial" w:hAnsi="Arial" w:cs="Arial"/>
          <w:sz w:val="24"/>
          <w:szCs w:val="24"/>
        </w:rPr>
        <w:t>administracyjnej</w:t>
      </w:r>
      <w:proofErr w:type="gramEnd"/>
      <w:r w:rsidRPr="00C50096">
        <w:rPr>
          <w:rFonts w:ascii="Arial" w:hAnsi="Arial" w:cs="Arial"/>
          <w:sz w:val="24"/>
          <w:szCs w:val="24"/>
        </w:rPr>
        <w:t xml:space="preserve"> jeżeli:</w:t>
      </w:r>
    </w:p>
    <w:p w14:paraId="45312B98" w14:textId="77777777" w:rsidR="00FF4032" w:rsidRPr="00C50096" w:rsidRDefault="00FF4032">
      <w:pPr>
        <w:pStyle w:val="ListParagraph"/>
        <w:numPr>
          <w:ilvl w:val="1"/>
          <w:numId w:val="2"/>
        </w:numPr>
        <w:spacing w:after="0" w:line="100" w:lineRule="atLeast"/>
        <w:ind w:left="720" w:hanging="425"/>
        <w:jc w:val="both"/>
        <w:rPr>
          <w:rFonts w:ascii="Arial" w:hAnsi="Arial" w:cs="Arial"/>
          <w:sz w:val="24"/>
          <w:szCs w:val="24"/>
        </w:rPr>
      </w:pPr>
      <w:r w:rsidRPr="00C50096">
        <w:rPr>
          <w:rFonts w:ascii="Arial" w:hAnsi="Arial" w:cs="Arial"/>
          <w:sz w:val="24"/>
          <w:szCs w:val="24"/>
        </w:rPr>
        <w:t>projektowane roboty geologiczne naruszałyby wymagania ochrony środowiska;</w:t>
      </w:r>
    </w:p>
    <w:p w14:paraId="0A623C9D" w14:textId="77777777" w:rsidR="00FF4032" w:rsidRPr="00C50096" w:rsidRDefault="00FF4032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50096">
        <w:rPr>
          <w:rFonts w:ascii="Arial" w:hAnsi="Arial" w:cs="Arial"/>
          <w:sz w:val="24"/>
          <w:szCs w:val="24"/>
        </w:rPr>
        <w:t>projekt robót geologicznych nie odpowiada wymaganiom prawa.</w:t>
      </w:r>
    </w:p>
    <w:p w14:paraId="75BC1711" w14:textId="77777777" w:rsidR="00FF4032" w:rsidRPr="00C50096" w:rsidRDefault="00FF4032">
      <w:pPr>
        <w:pStyle w:val="ListParagraph"/>
        <w:spacing w:after="0"/>
        <w:ind w:left="792"/>
        <w:jc w:val="both"/>
        <w:rPr>
          <w:rFonts w:ascii="Arial" w:hAnsi="Arial" w:cs="Arial"/>
          <w:sz w:val="24"/>
          <w:szCs w:val="24"/>
        </w:rPr>
      </w:pPr>
    </w:p>
    <w:p w14:paraId="4BCDE4AE" w14:textId="77777777" w:rsidR="00FF4032" w:rsidRPr="00C50096" w:rsidRDefault="00FF4032">
      <w:pPr>
        <w:pStyle w:val="ListParagraph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50096">
        <w:rPr>
          <w:rFonts w:ascii="Arial" w:hAnsi="Arial" w:cs="Arial"/>
          <w:b/>
          <w:bCs/>
          <w:sz w:val="24"/>
          <w:szCs w:val="24"/>
        </w:rPr>
        <w:t>Określenie czasu realizacji:</w:t>
      </w:r>
    </w:p>
    <w:p w14:paraId="34CACAA4" w14:textId="77777777" w:rsidR="00FF4032" w:rsidRDefault="00FF4032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</w:rPr>
      </w:pPr>
      <w:r w:rsidRPr="00C50096">
        <w:rPr>
          <w:rFonts w:ascii="Arial" w:hAnsi="Arial" w:cs="Arial"/>
          <w:color w:val="000000"/>
          <w:sz w:val="24"/>
          <w:szCs w:val="24"/>
        </w:rPr>
        <w:lastRenderedPageBreak/>
        <w:t>nie później</w:t>
      </w:r>
      <w:r>
        <w:rPr>
          <w:rFonts w:ascii="Arial" w:hAnsi="Arial" w:cs="Arial"/>
          <w:color w:val="000000"/>
          <w:sz w:val="24"/>
          <w:szCs w:val="24"/>
        </w:rPr>
        <w:t xml:space="preserve"> niż w ciągu miesiąca od dnia wszczęcia postępowania, jeżeli sprawa nie wymaga postępowania wyjaśniającego,</w:t>
      </w:r>
    </w:p>
    <w:p w14:paraId="62CCD0D7" w14:textId="77777777" w:rsidR="00FF4032" w:rsidRDefault="00FF4032">
      <w:pPr>
        <w:pStyle w:val="NormalWeb"/>
        <w:numPr>
          <w:ilvl w:val="0"/>
          <w:numId w:val="4"/>
        </w:numPr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później niż w ciągu dwóch miesięcy od dnia wszczęcia postępowania, jeżeli sprawa jest szczególnie skomplikowana,</w:t>
      </w:r>
    </w:p>
    <w:p w14:paraId="6674AB15" w14:textId="77777777" w:rsidR="006E5DD0" w:rsidRPr="006E5DD0" w:rsidRDefault="006E5DD0" w:rsidP="006E5DD0">
      <w:pPr>
        <w:pStyle w:val="NormalWeb"/>
        <w:spacing w:before="0" w:after="0"/>
        <w:ind w:left="360"/>
        <w:jc w:val="right"/>
        <w:rPr>
          <w:rFonts w:ascii="Arial" w:hAnsi="Arial" w:cs="Arial"/>
          <w:color w:val="000000"/>
          <w:sz w:val="20"/>
          <w:szCs w:val="20"/>
        </w:rPr>
      </w:pPr>
      <w:r w:rsidRPr="006E5DD0">
        <w:rPr>
          <w:rFonts w:ascii="Arial" w:hAnsi="Arial" w:cs="Arial"/>
          <w:color w:val="000000"/>
          <w:sz w:val="20"/>
          <w:szCs w:val="20"/>
        </w:rPr>
        <w:t>1/2</w:t>
      </w:r>
    </w:p>
    <w:p w14:paraId="24D442CF" w14:textId="77777777" w:rsidR="00FF4032" w:rsidRDefault="00FF4032">
      <w:pPr>
        <w:pStyle w:val="NormalWeb"/>
        <w:numPr>
          <w:ilvl w:val="0"/>
          <w:numId w:val="4"/>
        </w:numPr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proofErr w:type="gramStart"/>
      <w:r>
        <w:rPr>
          <w:rFonts w:ascii="Arial" w:hAnsi="Arial" w:cs="Arial"/>
          <w:color w:val="000000"/>
        </w:rPr>
        <w:t>przypadku  zgłoszenia</w:t>
      </w:r>
      <w:proofErr w:type="gramEnd"/>
      <w:r>
        <w:rPr>
          <w:rFonts w:ascii="Arial" w:hAnsi="Arial" w:cs="Arial"/>
          <w:color w:val="000000"/>
        </w:rPr>
        <w:t xml:space="preserve"> sprzeciwu zgodnie z art. 35 § 5 ustawy z dnia 14 czerwca 1960 r. - Kodeks postępowania </w:t>
      </w:r>
      <w:r w:rsidR="003A36B8">
        <w:rPr>
          <w:rFonts w:ascii="Arial" w:hAnsi="Arial" w:cs="Arial"/>
          <w:color w:val="000000"/>
        </w:rPr>
        <w:t>administracyjnego (Dz. U. z 2022 r. poz. 2000</w:t>
      </w:r>
      <w:r>
        <w:rPr>
          <w:rFonts w:ascii="Arial" w:hAnsi="Arial" w:cs="Arial"/>
          <w:color w:val="000000"/>
        </w:rPr>
        <w:t xml:space="preserve">) do terminów określonych w przepisach poprzedzających nie wlicza </w:t>
      </w:r>
    </w:p>
    <w:p w14:paraId="7E13D48A" w14:textId="77777777" w:rsidR="00FF4032" w:rsidRDefault="00FF4032">
      <w:pPr>
        <w:pStyle w:val="NormalWeb"/>
        <w:spacing w:before="0" w:after="0"/>
        <w:ind w:left="36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się terminów przewidzianych w przepisach prawa dla dokonania określonych czynności, okresów zawieszenia postępowania, okresu trwania mediacji oraz </w:t>
      </w:r>
    </w:p>
    <w:p w14:paraId="59CDAE10" w14:textId="77777777" w:rsidR="00FF4032" w:rsidRDefault="00FF4032">
      <w:pPr>
        <w:pStyle w:val="NormalWeb"/>
        <w:spacing w:before="0" w:after="0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okresów opóźnień spowodowanych z winy strony albo przyczyn niezależnych od organu. </w:t>
      </w:r>
    </w:p>
    <w:p w14:paraId="429B8670" w14:textId="77777777" w:rsidR="00FF4032" w:rsidRDefault="00FF403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63813C5E" w14:textId="77777777" w:rsidR="00FF4032" w:rsidRDefault="00FF4032">
      <w:pPr>
        <w:pStyle w:val="Tekstpodstawowy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Uwagi i dodatkowe informacje:</w:t>
      </w:r>
    </w:p>
    <w:p w14:paraId="6FF5DF80" w14:textId="77777777" w:rsidR="00FF4032" w:rsidRDefault="00FF4032">
      <w:pPr>
        <w:pStyle w:val="Tekstpodstawowy"/>
        <w:spacing w:after="0"/>
        <w:ind w:left="735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1. Rozpoczęcie robót geologicznych może nastąpić, jeżeli w terminie 30 dni od dnia przedłożenia projektu robót geologicznych starosta, w drodze decyzji, nie zgłosi do niego sprzeciwu. </w:t>
      </w:r>
    </w:p>
    <w:p w14:paraId="468C2D48" w14:textId="77777777" w:rsidR="00FF4032" w:rsidRDefault="00FF4032">
      <w:pPr>
        <w:pStyle w:val="Tekstpodstawowy"/>
        <w:numPr>
          <w:ilvl w:val="0"/>
          <w:numId w:val="5"/>
        </w:numPr>
        <w:spacing w:after="0"/>
        <w:ind w:left="705" w:hanging="3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Zgłoszenia nie wymaga wykonywanie wkopów oraz otworów wiertniczych        o głębokości do 30 m w celu wykorzystania ciepła Ziemi, poza obszarami górniczymi.</w:t>
      </w:r>
    </w:p>
    <w:p w14:paraId="0AB1FFB2" w14:textId="77777777" w:rsidR="00FF4032" w:rsidRDefault="00FF4032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Zgłoszenia nie wymaga wykonywanie wko</w:t>
      </w:r>
      <w:r w:rsidR="00D31455">
        <w:rPr>
          <w:rFonts w:ascii="Arial" w:hAnsi="Arial" w:cs="Arial"/>
          <w:sz w:val="24"/>
          <w:szCs w:val="24"/>
        </w:rPr>
        <w:t>pów oraz otworów wiertniczych w</w:t>
      </w:r>
      <w:r w:rsidR="003A36B8">
        <w:rPr>
          <w:rFonts w:ascii="Arial" w:hAnsi="Arial" w:cs="Arial"/>
          <w:sz w:val="24"/>
          <w:szCs w:val="24"/>
        </w:rPr>
        <w:t xml:space="preserve">ykonywanych w celu poboru wody </w:t>
      </w:r>
      <w:r>
        <w:rPr>
          <w:rFonts w:ascii="Arial" w:hAnsi="Arial" w:cs="Arial"/>
          <w:sz w:val="24"/>
          <w:szCs w:val="24"/>
        </w:rPr>
        <w:t xml:space="preserve">dla gospodarstw domowych                   </w:t>
      </w:r>
      <w:r w:rsidR="00D3145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o głębokości do 30 m i </w:t>
      </w:r>
      <w:r w:rsidR="00D31455">
        <w:rPr>
          <w:rFonts w:ascii="Arial" w:hAnsi="Arial" w:cs="Arial"/>
          <w:sz w:val="24"/>
          <w:szCs w:val="24"/>
        </w:rPr>
        <w:t>poborze</w:t>
      </w:r>
      <w:r>
        <w:rPr>
          <w:rFonts w:ascii="Arial" w:hAnsi="Arial" w:cs="Arial"/>
          <w:sz w:val="24"/>
          <w:szCs w:val="24"/>
        </w:rPr>
        <w:t xml:space="preserve"> do 5 m</w:t>
      </w:r>
      <w:r w:rsidRPr="00D31455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na </w:t>
      </w:r>
      <w:proofErr w:type="gramStart"/>
      <w:r>
        <w:rPr>
          <w:rFonts w:ascii="Arial" w:hAnsi="Arial" w:cs="Arial"/>
          <w:sz w:val="24"/>
          <w:szCs w:val="24"/>
        </w:rPr>
        <w:t>dobę  poza</w:t>
      </w:r>
      <w:proofErr w:type="gramEnd"/>
      <w:r>
        <w:rPr>
          <w:rFonts w:ascii="Arial" w:hAnsi="Arial" w:cs="Arial"/>
          <w:sz w:val="24"/>
          <w:szCs w:val="24"/>
        </w:rPr>
        <w:t xml:space="preserve"> obszarami górniczymi.</w:t>
      </w:r>
    </w:p>
    <w:p w14:paraId="69AB0FA7" w14:textId="77777777" w:rsidR="00FF4032" w:rsidRDefault="00FF4032">
      <w:pPr>
        <w:pStyle w:val="Tekstpodstawowy"/>
        <w:spacing w:after="0"/>
        <w:jc w:val="both"/>
        <w:rPr>
          <w:rFonts w:ascii="Arial" w:hAnsi="Arial" w:cs="Arial"/>
          <w:sz w:val="24"/>
          <w:szCs w:val="24"/>
        </w:rPr>
      </w:pPr>
    </w:p>
    <w:p w14:paraId="62845827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b/>
          <w:bCs/>
          <w:color w:val="2A2A2A"/>
          <w:sz w:val="24"/>
          <w:szCs w:val="24"/>
        </w:rPr>
        <w:t>Inne informacje</w:t>
      </w:r>
    </w:p>
    <w:p w14:paraId="0A36ABE2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Dodatkowe informacje udzielane są przez Geologa Powiatowego </w:t>
      </w:r>
      <w:r w:rsidR="003A36B8">
        <w:rPr>
          <w:rFonts w:ascii="Arial" w:hAnsi="Arial" w:cs="Arial"/>
          <w:color w:val="2A2A2A"/>
          <w:sz w:val="24"/>
          <w:szCs w:val="24"/>
        </w:rPr>
        <w:t>II piętro pok. 32</w:t>
      </w:r>
      <w:r>
        <w:rPr>
          <w:rFonts w:ascii="Arial" w:hAnsi="Arial" w:cs="Arial"/>
          <w:color w:val="2A2A2A"/>
          <w:sz w:val="24"/>
          <w:szCs w:val="24"/>
        </w:rPr>
        <w:t xml:space="preserve">, </w:t>
      </w:r>
    </w:p>
    <w:p w14:paraId="6E6CBD2A" w14:textId="77777777" w:rsidR="00FF4032" w:rsidRDefault="003A36B8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tel. 71 380 59 85 (</w:t>
      </w:r>
      <w:r w:rsidR="00C50096">
        <w:rPr>
          <w:rFonts w:ascii="Arial" w:hAnsi="Arial" w:cs="Arial"/>
          <w:color w:val="2A2A2A"/>
          <w:sz w:val="24"/>
          <w:szCs w:val="24"/>
        </w:rPr>
        <w:t>piątek</w:t>
      </w:r>
      <w:r w:rsidR="00FF4032">
        <w:rPr>
          <w:rFonts w:ascii="Arial" w:hAnsi="Arial" w:cs="Arial"/>
          <w:color w:val="2A2A2A"/>
          <w:sz w:val="24"/>
          <w:szCs w:val="24"/>
        </w:rPr>
        <w:t>).</w:t>
      </w:r>
    </w:p>
    <w:p w14:paraId="5CA1D9B6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4829F2DC" w14:textId="77777777" w:rsidR="00FF4032" w:rsidRDefault="00FF4032">
      <w:pPr>
        <w:pStyle w:val="Tekstpodstawowy"/>
        <w:spacing w:after="0"/>
      </w:pPr>
    </w:p>
    <w:p w14:paraId="0C56B04D" w14:textId="77777777" w:rsidR="00FF4032" w:rsidRPr="006E5DD0" w:rsidRDefault="00FF4032" w:rsidP="006E5DD0">
      <w:pPr>
        <w:shd w:val="clear" w:color="auto" w:fill="FFFFFF"/>
        <w:spacing w:after="0" w:line="100" w:lineRule="atLeast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74B62D4C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0BF4A6B6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43AC4F63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446E5671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57F6FFD8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39C1F6A8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6120682A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33490AFF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14379628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338834E1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0B6165FF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32929B57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3D5E18D2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5DEAFD50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1B04DBC7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2470227C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7CE7A391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5D7AFE8A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5283E08E" w14:textId="77777777" w:rsidR="00FF4032" w:rsidRDefault="00FF4032">
      <w:pPr>
        <w:shd w:val="clear" w:color="auto" w:fill="FFFFFF"/>
        <w:spacing w:after="0" w:line="100" w:lineRule="atLeast"/>
        <w:jc w:val="both"/>
        <w:rPr>
          <w:rFonts w:ascii="Arial" w:hAnsi="Arial" w:cs="Arial"/>
          <w:color w:val="2A2A2A"/>
          <w:sz w:val="24"/>
          <w:szCs w:val="24"/>
        </w:rPr>
      </w:pPr>
    </w:p>
    <w:p w14:paraId="284A7B0F" w14:textId="77777777" w:rsidR="00FF4032" w:rsidRPr="006E5DD0" w:rsidRDefault="00D31455" w:rsidP="00D31455">
      <w:pPr>
        <w:pStyle w:val="NormalWeb"/>
        <w:spacing w:before="0" w:after="0"/>
        <w:jc w:val="right"/>
      </w:pPr>
      <w:r w:rsidRPr="006E5DD0">
        <w:rPr>
          <w:rFonts w:ascii="Arial" w:hAnsi="Arial" w:cs="Arial"/>
          <w:color w:val="000000"/>
          <w:sz w:val="20"/>
          <w:szCs w:val="20"/>
        </w:rPr>
        <w:t>2/2</w:t>
      </w:r>
    </w:p>
    <w:sectPr w:rsidR="00FF4032" w:rsidRPr="006E5DD0">
      <w:pgSz w:w="11906" w:h="16838"/>
      <w:pgMar w:top="993" w:right="1417" w:bottom="1134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87ADDD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3555E7E"/>
    <w:multiLevelType w:val="hybridMultilevel"/>
    <w:tmpl w:val="8B40BF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F1A4D09"/>
    <w:multiLevelType w:val="hybridMultilevel"/>
    <w:tmpl w:val="319476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523C7E"/>
    <w:multiLevelType w:val="hybridMultilevel"/>
    <w:tmpl w:val="451CA1C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6BC81E32"/>
    <w:multiLevelType w:val="hybridMultilevel"/>
    <w:tmpl w:val="5D34E90A"/>
    <w:lvl w:ilvl="0" w:tplc="2C08AA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0C25"/>
    <w:multiLevelType w:val="hybridMultilevel"/>
    <w:tmpl w:val="DC50A7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067C5E"/>
    <w:multiLevelType w:val="hybridMultilevel"/>
    <w:tmpl w:val="57D87628"/>
    <w:lvl w:ilvl="0" w:tplc="EECCCFF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3C25"/>
    <w:multiLevelType w:val="hybridMultilevel"/>
    <w:tmpl w:val="044C5746"/>
    <w:lvl w:ilvl="0" w:tplc="615CA3B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655524">
    <w:abstractNumId w:val="0"/>
  </w:num>
  <w:num w:numId="2" w16cid:durableId="1681662374">
    <w:abstractNumId w:val="1"/>
  </w:num>
  <w:num w:numId="3" w16cid:durableId="307978647">
    <w:abstractNumId w:val="2"/>
  </w:num>
  <w:num w:numId="4" w16cid:durableId="760415311">
    <w:abstractNumId w:val="3"/>
  </w:num>
  <w:num w:numId="5" w16cid:durableId="146702145">
    <w:abstractNumId w:val="4"/>
  </w:num>
  <w:num w:numId="6" w16cid:durableId="975372921">
    <w:abstractNumId w:val="5"/>
  </w:num>
  <w:num w:numId="7" w16cid:durableId="2075814510">
    <w:abstractNumId w:val="7"/>
  </w:num>
  <w:num w:numId="8" w16cid:durableId="1590650332">
    <w:abstractNumId w:val="6"/>
  </w:num>
  <w:num w:numId="9" w16cid:durableId="26681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0919295">
    <w:abstractNumId w:val="11"/>
  </w:num>
  <w:num w:numId="11" w16cid:durableId="1836723896">
    <w:abstractNumId w:val="9"/>
  </w:num>
  <w:num w:numId="12" w16cid:durableId="2083134025">
    <w:abstractNumId w:val="12"/>
  </w:num>
  <w:num w:numId="13" w16cid:durableId="734864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C3"/>
    <w:rsid w:val="000267C3"/>
    <w:rsid w:val="003A36B8"/>
    <w:rsid w:val="005B5ADA"/>
    <w:rsid w:val="006E5DD0"/>
    <w:rsid w:val="008048BA"/>
    <w:rsid w:val="00BA7892"/>
    <w:rsid w:val="00BE45B1"/>
    <w:rsid w:val="00C50096"/>
    <w:rsid w:val="00D31455"/>
    <w:rsid w:val="00E668AF"/>
    <w:rsid w:val="00E74B50"/>
    <w:rsid w:val="00F22038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DD37BC1"/>
  <w15:chartTrackingRefBased/>
  <w15:docId w15:val="{DFD2BB1E-16C6-4CF3-93E8-2E7AEE4E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">
    <w:name w:val="Default Paragraph Font"/>
  </w:style>
  <w:style w:type="character" w:styleId="Hipercze">
    <w:name w:val="Hyperlink"/>
    <w:rPr>
      <w:color w:val="0000FF"/>
      <w:u w:val="single"/>
      <w:lang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sz w:val="2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NormalWeb">
    <w:name w:val="Normal (Web)"/>
    <w:basedOn w:val="Normalny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5DD0"/>
    <w:pPr>
      <w:suppressAutoHyphens w:val="0"/>
      <w:ind w:left="720"/>
      <w:contextualSpacing/>
    </w:pPr>
    <w:rPr>
      <w:rFonts w:eastAsia="Times New Roman" w:cs="Times New Roman"/>
      <w:lang w:eastAsia="pl-PL"/>
    </w:rPr>
  </w:style>
  <w:style w:type="character" w:customStyle="1" w:styleId="addr-name-output">
    <w:name w:val="addr-name-output"/>
    <w:rsid w:val="00F2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CDC1-6B5D-4258-95DD-75CD7127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Niewrzał</dc:creator>
  <cp:keywords/>
  <cp:lastModifiedBy>Łukasz Zator</cp:lastModifiedBy>
  <cp:revision>2</cp:revision>
  <cp:lastPrinted>1601-01-01T00:00:00Z</cp:lastPrinted>
  <dcterms:created xsi:type="dcterms:W3CDTF">2022-11-18T09:52:00Z</dcterms:created>
  <dcterms:modified xsi:type="dcterms:W3CDTF">2022-11-18T09:52:00Z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